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64"/>
        <w:gridCol w:w="3802"/>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3802"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GG-ZNB-202604250004</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3802"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销售公司招待酒水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64"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3802"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销售公司招待酒水</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GG-ZBN-202604250004</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销售公司招待酒水</w:t>
      </w:r>
      <w:r>
        <w:rPr>
          <w:rFonts w:ascii="宋体" w:hAnsi="宋体" w:eastAsia="宋体" w:cs="宋体"/>
          <w:color w:val="000000"/>
          <w:sz w:val="24"/>
          <w:highlight w:val="none"/>
        </w:rPr>
        <w:t>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w:t>
      </w:r>
      <w:r>
        <w:rPr>
          <w:rFonts w:hint="eastAsia" w:ascii="宋体" w:hAnsi="宋体" w:cs="宋体"/>
          <w:color w:val="000000"/>
          <w:sz w:val="24"/>
          <w:highlight w:val="none"/>
          <w:lang w:eastAsia="zh-CN"/>
        </w:rPr>
        <w:t>三</w:t>
      </w:r>
      <w:r>
        <w:rPr>
          <w:rFonts w:ascii="宋体" w:hAnsi="宋体" w:eastAsia="宋体" w:cs="宋体"/>
          <w:color w:val="000000"/>
          <w:sz w:val="24"/>
          <w:highlight w:val="none"/>
        </w:rPr>
        <w:t>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77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经营范围含酒类</w:t>
            </w:r>
            <w:r>
              <w:rPr>
                <w:rFonts w:hint="eastAsia" w:ascii="宋体" w:hAnsi="宋体" w:cs="宋体"/>
                <w:color w:val="000000"/>
                <w:sz w:val="22"/>
                <w:highlight w:val="none"/>
                <w:lang w:val="en-US" w:eastAsia="zh-CN"/>
              </w:rPr>
              <w:t>/预包装食品销售</w:t>
            </w:r>
            <w:r>
              <w:rPr>
                <w:rFonts w:ascii="宋体" w:hAnsi="宋体" w:eastAsia="宋体" w:cs="宋体"/>
                <w:color w:val="000000"/>
                <w:sz w:val="22"/>
                <w:highlight w:val="none"/>
              </w:rPr>
              <w:t>，</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pPr>
            <w:r>
              <w:rPr>
                <w:rFonts w:ascii="宋体" w:hAnsi="宋体" w:eastAsia="宋体" w:cs="宋体"/>
                <w:color w:val="000000"/>
                <w:sz w:val="22"/>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6F9A5E70">
            <w:pPr>
              <w:keepNext w:val="0"/>
              <w:keepLines w:val="0"/>
              <w:widowControl/>
              <w:suppressLineNumbers w:val="0"/>
              <w:jc w:val="left"/>
            </w:pPr>
            <w:r>
              <w:rPr>
                <w:rFonts w:ascii="宋体" w:hAnsi="宋体" w:eastAsia="宋体" w:cs="宋体"/>
                <w:color w:val="000000"/>
                <w:sz w:val="22"/>
              </w:rPr>
              <w:t>必须持有</w:t>
            </w:r>
            <w:r>
              <w:rPr>
                <w:rFonts w:ascii="宋体" w:hAnsi="宋体" w:eastAsia="宋体" w:cs="宋体"/>
                <w:kern w:val="0"/>
                <w:sz w:val="22"/>
                <w:szCs w:val="22"/>
                <w:lang w:val="en-US" w:eastAsia="zh-CN" w:bidi="ar"/>
              </w:rPr>
              <w:t>产品质量检验合格证、进口酒类商品要有海关进口货物报关单、</w:t>
            </w:r>
            <w:r>
              <w:rPr>
                <w:rFonts w:hint="eastAsia" w:ascii="宋体" w:hAnsi="宋体" w:eastAsia="宋体" w:cs="宋体"/>
                <w:kern w:val="0"/>
                <w:sz w:val="22"/>
                <w:szCs w:val="22"/>
                <w:lang w:val="en-US" w:eastAsia="zh-CN" w:bidi="ar"/>
              </w:rPr>
              <w:t>入境</w:t>
            </w:r>
            <w:r>
              <w:rPr>
                <w:rFonts w:ascii="宋体" w:hAnsi="宋体" w:eastAsia="宋体" w:cs="宋体"/>
                <w:kern w:val="0"/>
                <w:sz w:val="22"/>
                <w:szCs w:val="22"/>
                <w:lang w:val="en-US" w:eastAsia="zh-CN" w:bidi="ar"/>
              </w:rPr>
              <w:t>货物检验检疫证明</w:t>
            </w:r>
            <w:r>
              <w:rPr>
                <w:rFonts w:ascii="宋体" w:hAnsi="宋体" w:eastAsia="宋体" w:cs="宋体"/>
                <w:color w:val="000000"/>
                <w:sz w:val="22"/>
              </w:rPr>
              <w:t>，</w:t>
            </w:r>
            <w:r>
              <w:rPr>
                <w:rFonts w:ascii="宋体" w:hAnsi="宋体" w:eastAsia="宋体" w:cs="宋体"/>
                <w:b/>
                <w:color w:val="000000"/>
                <w:sz w:val="22"/>
              </w:rPr>
              <w:t>提交复印件并加盖申请人公章。</w:t>
            </w:r>
          </w:p>
        </w:tc>
      </w:tr>
      <w:tr w14:paraId="0F4D9354">
        <w:tblPrEx>
          <w:tblCellMar>
            <w:top w:w="0" w:type="dxa"/>
            <w:left w:w="108" w:type="dxa"/>
            <w:bottom w:w="0" w:type="dxa"/>
            <w:right w:w="108" w:type="dxa"/>
          </w:tblCellMar>
        </w:tblPrEx>
        <w:trPr>
          <w:trHeight w:val="646"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pPr>
            <w:r>
              <w:rPr>
                <w:rFonts w:ascii="宋体" w:hAnsi="宋体" w:eastAsia="宋体" w:cs="宋体"/>
                <w:color w:val="000000"/>
                <w:sz w:val="22"/>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1D1DB534">
        <w:tblPrEx>
          <w:tblCellMar>
            <w:top w:w="0" w:type="dxa"/>
            <w:left w:w="108" w:type="dxa"/>
            <w:bottom w:w="0" w:type="dxa"/>
            <w:right w:w="108" w:type="dxa"/>
          </w:tblCellMar>
        </w:tblPrEx>
        <w:trPr>
          <w:trHeight w:val="115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eastAsia="宋体" w:cs="宋体"/>
                <w:color w:val="000000"/>
                <w:sz w:val="22"/>
                <w:highlight w:val="none"/>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w:t>
            </w:r>
            <w:r>
              <w:rPr>
                <w:rFonts w:hint="eastAsia" w:ascii="宋体" w:hAnsi="宋体" w:cs="宋体"/>
                <w:b/>
                <w:color w:val="000000"/>
                <w:sz w:val="22"/>
                <w:highlight w:val="none"/>
                <w:lang w:val="en-US" w:eastAsia="zh-CN"/>
              </w:rPr>
              <w:t>2023-2025年</w:t>
            </w:r>
            <w:r>
              <w:rPr>
                <w:rFonts w:hint="eastAsia" w:ascii="宋体" w:hAnsi="宋体" w:cs="宋体"/>
                <w:b/>
                <w:color w:val="000000"/>
                <w:sz w:val="22"/>
                <w:highlight w:val="none"/>
                <w:lang w:eastAsia="zh-CN"/>
              </w:rPr>
              <w:t>酒水项目</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56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73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eastAsia="宋体" w:cs="宋体"/>
                <w:color w:val="000000"/>
                <w:sz w:val="22"/>
                <w:lang w:val="en-US" w:eastAsia="zh-CN"/>
              </w:rPr>
              <w:t>8</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pPr>
            <w:r>
              <w:rPr>
                <w:rFonts w:ascii="宋体" w:hAnsi="宋体" w:eastAsia="宋体" w:cs="宋体"/>
                <w:color w:val="000000"/>
                <w:sz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销售公司招待酒水</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28</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6729BD77">
      <w:pPr>
        <w:pStyle w:val="5"/>
        <w:spacing w:after="75" w:line="420" w:lineRule="exact"/>
        <w:jc w:val="both"/>
      </w:pPr>
      <w:r>
        <w:rPr>
          <w:rFonts w:ascii="宋体" w:hAnsi="宋体" w:eastAsia="宋体" w:cs="宋体"/>
          <w:color w:val="000000"/>
          <w:sz w:val="24"/>
        </w:rPr>
        <w:t>格式8：其他补充资料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FC061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2409" w:firstLineChars="10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GG-ZBN-202604250004</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 xml:space="preserve">    </w:t>
      </w:r>
      <w:r>
        <w:rPr>
          <w:rFonts w:hint="eastAsia" w:ascii="微软雅黑" w:eastAsia="微软雅黑" w:cs="微软雅黑"/>
          <w:b/>
          <w:color w:val="000000"/>
          <w:kern w:val="0"/>
          <w:sz w:val="24"/>
          <w:highlight w:val="none"/>
          <w:u w:val="single"/>
          <w:lang w:val="zh-CN"/>
        </w:rPr>
        <w:t>销售公司招待酒水</w:t>
      </w:r>
      <w:r>
        <w:rPr>
          <w:rFonts w:hint="eastAsia" w:ascii="微软雅黑" w:eastAsia="微软雅黑" w:cs="微软雅黑"/>
          <w:b/>
          <w:color w:val="000000"/>
          <w:kern w:val="0"/>
          <w:sz w:val="24"/>
          <w:highlight w:val="none"/>
          <w:u w:val="single"/>
          <w:lang w:val="en-US" w:eastAsia="zh-CN"/>
        </w:rPr>
        <w:t xml:space="preserve">    </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w:t>
      </w:r>
      <w:r>
        <w:rPr>
          <w:rFonts w:ascii="宋体" w:hAnsi="宋体" w:eastAsia="宋体" w:cs="宋体"/>
          <w:color w:val="auto"/>
          <w:sz w:val="24"/>
        </w:rPr>
        <w:t>合</w:t>
      </w:r>
      <w:r>
        <w:rPr>
          <w:rFonts w:ascii="宋体" w:hAnsi="宋体" w:eastAsia="宋体" w:cs="宋体"/>
          <w:b w:val="0"/>
          <w:bCs w:val="0"/>
          <w:color w:val="auto"/>
          <w:sz w:val="24"/>
        </w:rPr>
        <w:t>法代理人，以本公司名义全权代表我方参与</w:t>
      </w:r>
      <w:r>
        <w:rPr>
          <w:rFonts w:hint="eastAsia" w:ascii="宋体" w:hAnsi="宋体" w:eastAsia="宋体" w:cs="宋体"/>
          <w:b w:val="0"/>
          <w:bCs w:val="0"/>
          <w:color w:val="auto"/>
          <w:sz w:val="24"/>
          <w:lang w:eastAsia="zh-CN"/>
        </w:rPr>
        <w:t>贵司</w:t>
      </w:r>
      <w:r>
        <w:rPr>
          <w:rFonts w:hint="eastAsia" w:ascii="宋体" w:hAnsi="宋体" w:cs="宋体"/>
          <w:b w:val="0"/>
          <w:bCs w:val="0"/>
          <w:color w:val="auto"/>
          <w:sz w:val="24"/>
          <w:highlight w:val="none"/>
          <w:lang w:eastAsia="zh-CN"/>
        </w:rPr>
        <w:t>销售公司招待酒水</w:t>
      </w:r>
      <w:r>
        <w:rPr>
          <w:rFonts w:hint="eastAsia" w:ascii="宋体" w:hAnsi="宋体" w:eastAsia="宋体" w:cs="宋体"/>
          <w:b w:val="0"/>
          <w:bCs w:val="0"/>
          <w:color w:val="auto"/>
          <w:sz w:val="24"/>
          <w:highlight w:val="none"/>
          <w:lang w:eastAsia="zh-CN"/>
        </w:rPr>
        <w:t>项</w:t>
      </w:r>
      <w:r>
        <w:rPr>
          <w:rFonts w:ascii="宋体" w:hAnsi="宋体" w:eastAsia="宋体" w:cs="宋体"/>
          <w:b w:val="0"/>
          <w:bCs w:val="0"/>
          <w:color w:val="auto"/>
          <w:sz w:val="24"/>
          <w:highlight w:val="none"/>
        </w:rPr>
        <w:t>目（项目编号：</w:t>
      </w:r>
      <w:r>
        <w:rPr>
          <w:rFonts w:hint="eastAsia" w:ascii="宋体" w:hAnsi="宋体" w:cs="宋体"/>
          <w:b w:val="0"/>
          <w:bCs w:val="0"/>
          <w:color w:val="auto"/>
          <w:sz w:val="24"/>
          <w:highlight w:val="none"/>
          <w:lang w:val="en-US" w:eastAsia="zh-CN"/>
        </w:rPr>
        <w:t>GG-ZBN-202604250004</w:t>
      </w:r>
      <w:r>
        <w:rPr>
          <w:rFonts w:hint="eastAsia" w:ascii="宋体" w:hAnsi="宋体" w:eastAsia="宋体" w:cs="宋体"/>
          <w:b w:val="0"/>
          <w:bCs w:val="0"/>
          <w:color w:val="auto"/>
          <w:sz w:val="24"/>
          <w:highlight w:val="none"/>
          <w:lang w:eastAsia="zh-CN"/>
        </w:rPr>
        <w:t>）</w:t>
      </w:r>
      <w:r>
        <w:rPr>
          <w:rFonts w:ascii="宋体" w:hAnsi="宋体" w:eastAsia="宋体" w:cs="宋体"/>
          <w:b w:val="0"/>
          <w:bCs w:val="0"/>
          <w:color w:val="auto"/>
          <w:sz w:val="24"/>
          <w:highlight w:val="none"/>
        </w:rPr>
        <w:t>的资格</w:t>
      </w:r>
      <w:r>
        <w:rPr>
          <w:rFonts w:ascii="宋体" w:hAnsi="宋体" w:eastAsia="宋体" w:cs="宋体"/>
          <w:b w:val="0"/>
          <w:bCs w:val="0"/>
          <w:color w:val="auto"/>
          <w:sz w:val="24"/>
        </w:rPr>
        <w:t>预</w:t>
      </w:r>
      <w:r>
        <w:rPr>
          <w:rFonts w:ascii="宋体" w:hAnsi="宋体" w:eastAsia="宋体" w:cs="宋体"/>
          <w:color w:val="auto"/>
          <w:sz w:val="24"/>
        </w:rPr>
        <w:t>审报名、投标、参与开标、谈判、签约等具体工作，并签署全部有关的文件、协议及合同</w:t>
      </w:r>
      <w:r>
        <w:rPr>
          <w:rFonts w:ascii="宋体" w:hAnsi="宋体" w:eastAsia="宋体" w:cs="宋体"/>
          <w:color w:val="000000"/>
          <w:sz w:val="24"/>
        </w:rPr>
        <w:t>。</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bookmarkStart w:id="25" w:name="_GoBack"/>
      <w:bookmarkEnd w:id="25"/>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szCs w:val="22"/>
                <w:highlight w:val="none"/>
              </w:rPr>
              <w:t>具有</w:t>
            </w:r>
            <w:r>
              <w:rPr>
                <w:rFonts w:hint="eastAsia" w:asciiTheme="minorEastAsia" w:hAnsiTheme="minorEastAsia" w:eastAsiaTheme="minorEastAsia" w:cstheme="minorEastAsia"/>
                <w:sz w:val="22"/>
                <w:szCs w:val="22"/>
                <w:highlight w:val="none"/>
              </w:rPr>
              <w:t>独立法人资格，持有有效的营业执照，</w:t>
            </w:r>
            <w:r>
              <w:rPr>
                <w:rFonts w:hint="eastAsia" w:ascii="宋体" w:hAnsi="宋体" w:cs="宋体"/>
                <w:color w:val="000000"/>
                <w:sz w:val="22"/>
                <w:szCs w:val="22"/>
                <w:highlight w:val="none"/>
                <w:lang w:eastAsia="zh-CN"/>
              </w:rPr>
              <w:t>经营范围含酒类</w:t>
            </w:r>
            <w:r>
              <w:rPr>
                <w:rFonts w:hint="eastAsia" w:ascii="宋体" w:hAnsi="宋体" w:cs="宋体"/>
                <w:color w:val="000000"/>
                <w:sz w:val="22"/>
                <w:szCs w:val="22"/>
                <w:highlight w:val="none"/>
                <w:lang w:val="en-US" w:eastAsia="zh-CN"/>
              </w:rPr>
              <w:t>、预包装食品销售</w:t>
            </w:r>
            <w:r>
              <w:rPr>
                <w:rFonts w:ascii="宋体" w:hAnsi="宋体" w:eastAsia="宋体" w:cs="宋体"/>
                <w:color w:val="000000"/>
                <w:sz w:val="22"/>
                <w:szCs w:val="22"/>
                <w:highlight w:val="none"/>
              </w:rPr>
              <w:t>，</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宋体" w:hAnsi="宋体" w:eastAsia="宋体" w:cs="宋体"/>
                <w:sz w:val="22"/>
                <w:szCs w:val="22"/>
              </w:rPr>
              <w:t>必须持有</w:t>
            </w:r>
            <w:r>
              <w:rPr>
                <w:rFonts w:hint="eastAsia" w:ascii="宋体" w:hAnsi="宋体" w:eastAsia="宋体" w:cs="宋体"/>
                <w:kern w:val="0"/>
                <w:sz w:val="22"/>
                <w:szCs w:val="22"/>
                <w:lang w:val="en-US" w:eastAsia="zh-CN" w:bidi="ar"/>
              </w:rPr>
              <w:t>产品质量检验合格证、进口酒类商品要有海关进口货物报关单、入境货物检验检疫证明</w:t>
            </w:r>
            <w:r>
              <w:rPr>
                <w:rFonts w:ascii="宋体" w:hAnsi="宋体" w:eastAsia="宋体" w:cs="宋体"/>
                <w:color w:val="000000"/>
                <w:sz w:val="22"/>
              </w:rPr>
              <w:t>，</w:t>
            </w:r>
            <w:r>
              <w:rPr>
                <w:rFonts w:ascii="宋体" w:hAnsi="宋体" w:eastAsia="宋体" w:cs="宋体"/>
                <w:b/>
                <w:color w:val="000000"/>
                <w:sz w:val="22"/>
              </w:rPr>
              <w:t>提交复印件并加盖申请人公章。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pPr>
            <w:r>
              <w:rPr>
                <w:rFonts w:ascii="宋体" w:hAnsi="宋体" w:eastAsia="宋体" w:cs="宋体"/>
                <w:color w:val="000000"/>
                <w:sz w:val="22"/>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eastAsia="zh-CN"/>
              </w:rPr>
              <w:t>招待酒水</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食品安全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eastAsia="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eastAsia="宋体" w:cs="宋体"/>
                <w:color w:val="000000"/>
                <w:sz w:val="22"/>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（格式</w:t>
            </w:r>
            <w:r>
              <w:rPr>
                <w:rFonts w:hint="eastAsia" w:ascii="宋体" w:hAnsi="宋体" w:cs="宋体"/>
                <w:b/>
                <w:color w:val="000000"/>
                <w:sz w:val="22"/>
                <w:lang w:eastAsia="zh-CN"/>
              </w:rPr>
              <w:t>自拟</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1D97DBE7">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C8E1FB5"/>
    <w:rsid w:val="0DEA1BCB"/>
    <w:rsid w:val="0F486D1A"/>
    <w:rsid w:val="0FE8038D"/>
    <w:rsid w:val="102922DE"/>
    <w:rsid w:val="124B3208"/>
    <w:rsid w:val="13C3321D"/>
    <w:rsid w:val="16053754"/>
    <w:rsid w:val="17811135"/>
    <w:rsid w:val="1E4744D0"/>
    <w:rsid w:val="2027608D"/>
    <w:rsid w:val="2550450D"/>
    <w:rsid w:val="25987DC7"/>
    <w:rsid w:val="2CC61A59"/>
    <w:rsid w:val="349A44E7"/>
    <w:rsid w:val="350248A7"/>
    <w:rsid w:val="35AC66EE"/>
    <w:rsid w:val="3BF7312C"/>
    <w:rsid w:val="3C2F6FC0"/>
    <w:rsid w:val="3E7A306B"/>
    <w:rsid w:val="3F543385"/>
    <w:rsid w:val="419F47C6"/>
    <w:rsid w:val="41A33104"/>
    <w:rsid w:val="423876CD"/>
    <w:rsid w:val="423C6250"/>
    <w:rsid w:val="43336194"/>
    <w:rsid w:val="44071E88"/>
    <w:rsid w:val="46D973C9"/>
    <w:rsid w:val="471804E0"/>
    <w:rsid w:val="4A35264E"/>
    <w:rsid w:val="4A655C1C"/>
    <w:rsid w:val="4B231D77"/>
    <w:rsid w:val="4C0A317F"/>
    <w:rsid w:val="4E7F0302"/>
    <w:rsid w:val="4F2F2D76"/>
    <w:rsid w:val="4FA51EF6"/>
    <w:rsid w:val="5199098B"/>
    <w:rsid w:val="51EF0FA2"/>
    <w:rsid w:val="520835C4"/>
    <w:rsid w:val="5348598D"/>
    <w:rsid w:val="55E3398B"/>
    <w:rsid w:val="56770548"/>
    <w:rsid w:val="574666C0"/>
    <w:rsid w:val="58282DEC"/>
    <w:rsid w:val="588C239E"/>
    <w:rsid w:val="58B32187"/>
    <w:rsid w:val="59EE4333"/>
    <w:rsid w:val="5C2B712B"/>
    <w:rsid w:val="5EAC1D22"/>
    <w:rsid w:val="63E43B3C"/>
    <w:rsid w:val="64EA6406"/>
    <w:rsid w:val="664B4F83"/>
    <w:rsid w:val="684033A4"/>
    <w:rsid w:val="688F4432"/>
    <w:rsid w:val="69153A99"/>
    <w:rsid w:val="69DE58ED"/>
    <w:rsid w:val="6A5A0E22"/>
    <w:rsid w:val="6A7449B2"/>
    <w:rsid w:val="6B561D0A"/>
    <w:rsid w:val="6B7F5576"/>
    <w:rsid w:val="6CDB363C"/>
    <w:rsid w:val="6D2A0812"/>
    <w:rsid w:val="6DA059DB"/>
    <w:rsid w:val="6DEF3809"/>
    <w:rsid w:val="700A45B4"/>
    <w:rsid w:val="70347F2B"/>
    <w:rsid w:val="711A1212"/>
    <w:rsid w:val="733676C5"/>
    <w:rsid w:val="735B6DB7"/>
    <w:rsid w:val="74E05C5A"/>
    <w:rsid w:val="75180EA9"/>
    <w:rsid w:val="751C051E"/>
    <w:rsid w:val="75AC33F3"/>
    <w:rsid w:val="7659216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1320</Words>
  <Characters>1474</Characters>
  <Lines>0</Lines>
  <Paragraphs>0</Paragraphs>
  <TotalTime>6</TotalTime>
  <ScaleCrop>false</ScaleCrop>
  <LinksUpToDate>false</LinksUpToDate>
  <CharactersWithSpaces>1560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2026-04-30T07:07:37Z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