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val="0"/>
        <w:topLinePunct w:val="0"/>
        <w:autoSpaceDE/>
        <w:autoSpaceDN/>
        <w:bidi w:val="0"/>
        <w:adjustRightInd/>
        <w:snapToGrid/>
        <w:spacing w:line="500" w:lineRule="exact"/>
        <w:jc w:val="center"/>
        <w:textAlignment w:val="auto"/>
        <w:rPr>
          <w:rFonts w:hint="eastAsia" w:ascii="宋体" w:hAnsi="宋体"/>
          <w:b/>
          <w:color w:val="auto"/>
          <w:sz w:val="36"/>
          <w:szCs w:val="36"/>
        </w:rPr>
      </w:pPr>
      <w:r>
        <w:rPr>
          <w:rFonts w:hint="eastAsia" w:ascii="宋体" w:hAnsi="宋体"/>
          <w:b/>
          <w:color w:val="auto"/>
          <w:sz w:val="36"/>
          <w:szCs w:val="36"/>
          <w:lang w:eastAsia="zh-CN"/>
        </w:rPr>
        <w:t>厦门金龙旅行车有限公司</w:t>
      </w:r>
      <w:r>
        <w:rPr>
          <w:rFonts w:hint="eastAsia" w:ascii="宋体" w:hAnsi="宋体"/>
          <w:b/>
          <w:color w:val="auto"/>
          <w:sz w:val="36"/>
          <w:szCs w:val="36"/>
        </w:rPr>
        <w:t>出国境外险</w:t>
      </w:r>
    </w:p>
    <w:p>
      <w:pPr>
        <w:keepNext w:val="0"/>
        <w:keepLines w:val="0"/>
        <w:pageBreakBefore w:val="0"/>
        <w:widowControl/>
        <w:kinsoku w:val="0"/>
        <w:wordWrap/>
        <w:overflowPunct w:val="0"/>
        <w:topLinePunct w:val="0"/>
        <w:autoSpaceDE/>
        <w:autoSpaceDN/>
        <w:bidi w:val="0"/>
        <w:adjustRightInd/>
        <w:snapToGrid/>
        <w:spacing w:line="500" w:lineRule="exact"/>
        <w:jc w:val="center"/>
        <w:textAlignment w:val="auto"/>
        <w:rPr>
          <w:rFonts w:ascii="宋体" w:hAnsi="宋体"/>
          <w:b/>
          <w:color w:val="auto"/>
          <w:sz w:val="36"/>
          <w:szCs w:val="36"/>
        </w:rPr>
      </w:pPr>
      <w:r>
        <w:rPr>
          <w:rFonts w:hint="eastAsia" w:ascii="宋体" w:hAnsi="宋体"/>
          <w:b/>
          <w:color w:val="auto"/>
          <w:sz w:val="36"/>
          <w:szCs w:val="36"/>
          <w:lang w:eastAsia="zh-CN"/>
        </w:rPr>
        <w:t>询价</w:t>
      </w:r>
      <w:r>
        <w:rPr>
          <w:rFonts w:hint="eastAsia" w:ascii="宋体" w:hAnsi="宋体"/>
          <w:b/>
          <w:color w:val="auto"/>
          <w:sz w:val="36"/>
          <w:szCs w:val="36"/>
        </w:rPr>
        <w:t>要求</w:t>
      </w:r>
    </w:p>
    <w:p>
      <w:pPr>
        <w:keepNext w:val="0"/>
        <w:keepLines w:val="0"/>
        <w:pageBreakBefore w:val="0"/>
        <w:widowControl/>
        <w:kinsoku/>
        <w:wordWrap/>
        <w:overflowPunct/>
        <w:topLinePunct w:val="0"/>
        <w:autoSpaceDE w:val="0"/>
        <w:autoSpaceDN w:val="0"/>
        <w:bidi w:val="0"/>
        <w:adjustRightInd/>
        <w:snapToGrid/>
        <w:spacing w:before="240" w:after="120" w:line="360" w:lineRule="exact"/>
        <w:textAlignment w:val="bottom"/>
      </w:pPr>
      <w:r>
        <w:rPr>
          <w:rFonts w:hint="eastAsia"/>
        </w:rPr>
        <w:t>一、投保人名称和地址</w:t>
      </w:r>
      <w:r>
        <w:t>：</w:t>
      </w:r>
    </w:p>
    <w:p>
      <w:pPr>
        <w:keepNext w:val="0"/>
        <w:keepLines w:val="0"/>
        <w:pageBreakBefore w:val="0"/>
        <w:widowControl/>
        <w:kinsoku/>
        <w:wordWrap/>
        <w:overflowPunct/>
        <w:topLinePunct w:val="0"/>
        <w:autoSpaceDE w:val="0"/>
        <w:autoSpaceDN w:val="0"/>
        <w:bidi w:val="0"/>
        <w:adjustRightInd/>
        <w:snapToGrid/>
        <w:spacing w:line="360" w:lineRule="exact"/>
        <w:ind w:firstLine="424" w:firstLineChars="202"/>
        <w:textAlignment w:val="bottom"/>
      </w:pPr>
      <w:r>
        <w:rPr>
          <w:rFonts w:hint="eastAsia"/>
        </w:rPr>
        <w:t>名   称：厦门金龙旅行车有限公司</w:t>
      </w:r>
    </w:p>
    <w:p>
      <w:pPr>
        <w:keepNext w:val="0"/>
        <w:keepLines w:val="0"/>
        <w:pageBreakBefore w:val="0"/>
        <w:widowControl/>
        <w:kinsoku/>
        <w:wordWrap/>
        <w:overflowPunct/>
        <w:topLinePunct w:val="0"/>
        <w:autoSpaceDE w:val="0"/>
        <w:autoSpaceDN w:val="0"/>
        <w:bidi w:val="0"/>
        <w:adjustRightInd/>
        <w:snapToGrid/>
        <w:spacing w:line="360" w:lineRule="exact"/>
        <w:ind w:firstLine="424" w:firstLineChars="202"/>
        <w:textAlignment w:val="bottom"/>
      </w:pPr>
      <w:r>
        <w:rPr>
          <w:rFonts w:hint="eastAsia"/>
        </w:rPr>
        <w:t>地   址：福建省厦门市湖里区湖里大道69号</w:t>
      </w:r>
    </w:p>
    <w:p>
      <w:pPr>
        <w:keepNext w:val="0"/>
        <w:keepLines w:val="0"/>
        <w:pageBreakBefore w:val="0"/>
        <w:widowControl/>
        <w:kinsoku/>
        <w:wordWrap/>
        <w:overflowPunct/>
        <w:topLinePunct w:val="0"/>
        <w:autoSpaceDE w:val="0"/>
        <w:autoSpaceDN w:val="0"/>
        <w:bidi w:val="0"/>
        <w:adjustRightInd/>
        <w:snapToGrid/>
        <w:spacing w:before="240" w:after="120" w:line="360" w:lineRule="exact"/>
        <w:textAlignment w:val="bottom"/>
      </w:pPr>
      <w:r>
        <w:rPr>
          <w:rFonts w:hint="eastAsia"/>
        </w:rPr>
        <w:t>二、投保人营业性质</w:t>
      </w:r>
      <w:r>
        <w:t>：</w:t>
      </w:r>
      <w:r>
        <w:rPr>
          <w:rFonts w:hint="eastAsia"/>
        </w:rPr>
        <w:t>交通运输设备制造业  汽车制造  汽车整车制造  制造商</w:t>
      </w:r>
    </w:p>
    <w:p>
      <w:pPr>
        <w:keepNext w:val="0"/>
        <w:keepLines w:val="0"/>
        <w:pageBreakBefore w:val="0"/>
        <w:widowControl/>
        <w:kinsoku/>
        <w:wordWrap/>
        <w:overflowPunct/>
        <w:topLinePunct w:val="0"/>
        <w:bidi w:val="0"/>
        <w:adjustRightInd/>
        <w:snapToGrid/>
        <w:spacing w:line="360" w:lineRule="exact"/>
        <w:rPr>
          <w:highlight w:val="none"/>
        </w:rPr>
      </w:pPr>
      <w:r>
        <w:rPr>
          <w:rFonts w:hint="eastAsia"/>
        </w:rPr>
        <w:t>三、保险项目及保险金额</w:t>
      </w:r>
      <w:r>
        <w:rPr>
          <w:rFonts w:hint="eastAsia"/>
          <w:lang w:eastAsia="zh-CN"/>
        </w:rPr>
        <w:t>（公司根据业务需要，自行选择投保</w:t>
      </w:r>
      <w:r>
        <w:rPr>
          <w:rFonts w:hint="eastAsia"/>
          <w:lang w:val="en-US" w:eastAsia="zh-CN"/>
        </w:rPr>
        <w:t>B类或C</w:t>
      </w:r>
      <w:r>
        <w:rPr>
          <w:rFonts w:hint="eastAsia"/>
          <w:highlight w:val="none"/>
          <w:lang w:val="en-US" w:eastAsia="zh-CN"/>
        </w:rPr>
        <w:t>类，一般选择B类</w:t>
      </w:r>
      <w:r>
        <w:rPr>
          <w:rFonts w:hint="eastAsia"/>
          <w:highlight w:val="none"/>
          <w:lang w:eastAsia="zh-CN"/>
        </w:rPr>
        <w:t>）</w:t>
      </w:r>
      <w:r>
        <w:rPr>
          <w:rFonts w:hint="eastAsia"/>
          <w:highlight w:val="none"/>
        </w:rPr>
        <w:t>：</w:t>
      </w:r>
    </w:p>
    <w:tbl>
      <w:tblPr>
        <w:tblStyle w:val="2"/>
        <w:tblW w:w="9347" w:type="dxa"/>
        <w:tblInd w:w="93" w:type="dxa"/>
        <w:tblLayout w:type="fixed"/>
        <w:tblCellMar>
          <w:top w:w="0" w:type="dxa"/>
          <w:left w:w="108" w:type="dxa"/>
          <w:bottom w:w="0" w:type="dxa"/>
          <w:right w:w="108" w:type="dxa"/>
        </w:tblCellMar>
      </w:tblPr>
      <w:tblGrid>
        <w:gridCol w:w="866"/>
        <w:gridCol w:w="4447"/>
        <w:gridCol w:w="2017"/>
        <w:gridCol w:w="2017"/>
      </w:tblGrid>
      <w:tr>
        <w:tblPrEx>
          <w:tblCellMar>
            <w:top w:w="0" w:type="dxa"/>
            <w:left w:w="108" w:type="dxa"/>
            <w:bottom w:w="0" w:type="dxa"/>
            <w:right w:w="108" w:type="dxa"/>
          </w:tblCellMar>
        </w:tblPrEx>
        <w:trPr>
          <w:trHeight w:val="298" w:hRule="atLeast"/>
        </w:trPr>
        <w:tc>
          <w:tcPr>
            <w:tcW w:w="5313" w:type="dxa"/>
            <w:gridSpan w:val="2"/>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2017" w:type="dxa"/>
            <w:tcBorders>
              <w:top w:val="single" w:color="auto" w:sz="4" w:space="0"/>
              <w:left w:val="nil"/>
              <w:bottom w:val="single" w:color="auto" w:sz="4" w:space="0"/>
              <w:right w:val="single" w:color="auto" w:sz="4" w:space="0"/>
            </w:tcBorders>
            <w:shd w:val="clear" w:color="auto" w:fill="auto"/>
            <w:noWrap/>
            <w:vAlign w:val="bottom"/>
          </w:tcPr>
          <w:p>
            <w:pPr>
              <w:jc w:val="center"/>
              <w:rPr>
                <w:b/>
                <w:bCs/>
                <w:kern w:val="0"/>
                <w:sz w:val="20"/>
                <w:szCs w:val="20"/>
              </w:rPr>
            </w:pPr>
            <w:r>
              <w:rPr>
                <w:b/>
                <w:bCs/>
                <w:kern w:val="0"/>
                <w:sz w:val="20"/>
                <w:szCs w:val="20"/>
              </w:rPr>
              <w:t>B</w:t>
            </w:r>
            <w:r>
              <w:rPr>
                <w:rFonts w:hint="eastAsia" w:ascii="宋体" w:hAnsi="宋体"/>
                <w:b/>
                <w:bCs/>
                <w:kern w:val="0"/>
                <w:sz w:val="20"/>
                <w:szCs w:val="20"/>
              </w:rPr>
              <w:t>类</w:t>
            </w:r>
          </w:p>
        </w:tc>
        <w:tc>
          <w:tcPr>
            <w:tcW w:w="2017" w:type="dxa"/>
            <w:tcBorders>
              <w:top w:val="single" w:color="auto" w:sz="4" w:space="0"/>
              <w:left w:val="nil"/>
              <w:bottom w:val="single" w:color="auto" w:sz="4" w:space="0"/>
              <w:right w:val="single" w:color="auto" w:sz="4" w:space="0"/>
            </w:tcBorders>
            <w:shd w:val="clear" w:color="auto" w:fill="auto"/>
            <w:noWrap/>
            <w:vAlign w:val="bottom"/>
          </w:tcPr>
          <w:p>
            <w:pPr>
              <w:rPr>
                <w:b/>
                <w:bCs/>
                <w:kern w:val="0"/>
                <w:sz w:val="20"/>
                <w:szCs w:val="20"/>
              </w:rPr>
            </w:pPr>
            <w:r>
              <w:rPr>
                <w:b/>
                <w:bCs/>
                <w:kern w:val="0"/>
                <w:sz w:val="20"/>
                <w:szCs w:val="20"/>
              </w:rPr>
              <w:t xml:space="preserve">       C</w:t>
            </w:r>
            <w:r>
              <w:rPr>
                <w:rFonts w:hint="eastAsia" w:ascii="宋体" w:hAnsi="宋体"/>
                <w:b/>
                <w:bCs/>
                <w:kern w:val="0"/>
                <w:sz w:val="20"/>
                <w:szCs w:val="20"/>
              </w:rPr>
              <w:t>类</w:t>
            </w:r>
          </w:p>
        </w:tc>
      </w:tr>
      <w:tr>
        <w:tblPrEx>
          <w:tblCellMar>
            <w:top w:w="0" w:type="dxa"/>
            <w:left w:w="108" w:type="dxa"/>
            <w:bottom w:w="0" w:type="dxa"/>
            <w:right w:w="108" w:type="dxa"/>
          </w:tblCellMar>
        </w:tblPrEx>
        <w:trPr>
          <w:trHeight w:val="283" w:hRule="atLeast"/>
        </w:trPr>
        <w:tc>
          <w:tcPr>
            <w:tcW w:w="5313" w:type="dxa"/>
            <w:gridSpan w:val="2"/>
            <w:vMerge w:val="continue"/>
            <w:tcBorders>
              <w:top w:val="single" w:color="auto" w:sz="4" w:space="0"/>
              <w:left w:val="single" w:color="auto" w:sz="4" w:space="0"/>
              <w:bottom w:val="single" w:color="000000" w:sz="4" w:space="0"/>
              <w:right w:val="single" w:color="000000" w:sz="4" w:space="0"/>
            </w:tcBorders>
            <w:vAlign w:val="center"/>
          </w:tcPr>
          <w:p>
            <w:pPr>
              <w:jc w:val="left"/>
              <w:rPr>
                <w:rFonts w:ascii="宋体" w:hAnsi="宋体" w:cs="宋体"/>
                <w:b/>
                <w:bCs/>
                <w:color w:val="000000"/>
                <w:kern w:val="0"/>
                <w:sz w:val="20"/>
                <w:szCs w:val="20"/>
              </w:rPr>
            </w:pPr>
          </w:p>
        </w:tc>
        <w:tc>
          <w:tcPr>
            <w:tcW w:w="4034"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保险金额（人民币，万元）</w:t>
            </w:r>
          </w:p>
        </w:tc>
      </w:tr>
      <w:tr>
        <w:tblPrEx>
          <w:tblCellMar>
            <w:top w:w="0" w:type="dxa"/>
            <w:left w:w="108" w:type="dxa"/>
            <w:bottom w:w="0" w:type="dxa"/>
            <w:right w:w="108" w:type="dxa"/>
          </w:tblCellMar>
        </w:tblPrEx>
        <w:trPr>
          <w:trHeight w:val="28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kern w:val="0"/>
                <w:sz w:val="24"/>
              </w:rPr>
            </w:pPr>
            <w:r>
              <w:rPr>
                <w:rFonts w:hint="eastAsia" w:ascii="宋体" w:hAnsi="宋体" w:cs="宋体"/>
                <w:b/>
                <w:bCs/>
                <w:kern w:val="0"/>
                <w:sz w:val="24"/>
              </w:rPr>
              <w:t>1</w:t>
            </w:r>
          </w:p>
        </w:tc>
        <w:tc>
          <w:tcPr>
            <w:tcW w:w="4447"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人身意外与身故</w:t>
            </w:r>
          </w:p>
        </w:tc>
        <w:tc>
          <w:tcPr>
            <w:tcW w:w="4034"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28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1.1</w:t>
            </w:r>
          </w:p>
        </w:tc>
        <w:tc>
          <w:tcPr>
            <w:tcW w:w="4447"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意外身故、残疾保险金</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35</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50</w:t>
            </w:r>
          </w:p>
        </w:tc>
      </w:tr>
      <w:tr>
        <w:tblPrEx>
          <w:tblCellMar>
            <w:top w:w="0" w:type="dxa"/>
            <w:left w:w="108" w:type="dxa"/>
            <w:bottom w:w="0" w:type="dxa"/>
            <w:right w:w="108" w:type="dxa"/>
          </w:tblCellMar>
        </w:tblPrEx>
        <w:trPr>
          <w:trHeight w:val="28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1.2</w:t>
            </w:r>
          </w:p>
        </w:tc>
        <w:tc>
          <w:tcPr>
            <w:tcW w:w="4447"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意外烧伤医疗保险金</w:t>
            </w:r>
          </w:p>
        </w:tc>
        <w:tc>
          <w:tcPr>
            <w:tcW w:w="2017" w:type="dxa"/>
            <w:tcBorders>
              <w:top w:val="nil"/>
              <w:left w:val="nil"/>
              <w:bottom w:val="single" w:color="auto" w:sz="4" w:space="0"/>
              <w:right w:val="single" w:color="auto" w:sz="4" w:space="0"/>
            </w:tcBorders>
            <w:shd w:val="clear" w:color="auto" w:fill="auto"/>
            <w:vAlign w:val="center"/>
          </w:tcPr>
          <w:p>
            <w:pPr>
              <w:jc w:val="center"/>
              <w:rPr>
                <w:kern w:val="0"/>
                <w:sz w:val="20"/>
                <w:szCs w:val="20"/>
              </w:rPr>
            </w:pPr>
            <w:r>
              <w:rPr>
                <w:kern w:val="0"/>
                <w:sz w:val="20"/>
                <w:szCs w:val="20"/>
              </w:rPr>
              <w:t>5</w:t>
            </w:r>
          </w:p>
        </w:tc>
        <w:tc>
          <w:tcPr>
            <w:tcW w:w="2017" w:type="dxa"/>
            <w:tcBorders>
              <w:top w:val="nil"/>
              <w:left w:val="nil"/>
              <w:bottom w:val="single" w:color="auto" w:sz="4" w:space="0"/>
              <w:right w:val="single" w:color="auto" w:sz="4" w:space="0"/>
            </w:tcBorders>
            <w:shd w:val="clear" w:color="auto" w:fill="auto"/>
            <w:vAlign w:val="center"/>
          </w:tcPr>
          <w:p>
            <w:pPr>
              <w:jc w:val="center"/>
              <w:rPr>
                <w:kern w:val="0"/>
                <w:sz w:val="20"/>
                <w:szCs w:val="20"/>
              </w:rPr>
            </w:pPr>
            <w:r>
              <w:rPr>
                <w:kern w:val="0"/>
                <w:sz w:val="20"/>
                <w:szCs w:val="20"/>
              </w:rPr>
              <w:t>50</w:t>
            </w:r>
          </w:p>
        </w:tc>
      </w:tr>
      <w:tr>
        <w:tblPrEx>
          <w:tblCellMar>
            <w:top w:w="0" w:type="dxa"/>
            <w:left w:w="108" w:type="dxa"/>
            <w:bottom w:w="0" w:type="dxa"/>
            <w:right w:w="108" w:type="dxa"/>
          </w:tblCellMar>
        </w:tblPrEx>
        <w:trPr>
          <w:trHeight w:val="507"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1.3</w:t>
            </w:r>
          </w:p>
        </w:tc>
        <w:tc>
          <w:tcPr>
            <w:tcW w:w="4447"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航空意外身故及残疾（与意外身故责任不重复赔付）</w:t>
            </w:r>
          </w:p>
        </w:tc>
        <w:tc>
          <w:tcPr>
            <w:tcW w:w="2017" w:type="dxa"/>
            <w:tcBorders>
              <w:top w:val="nil"/>
              <w:left w:val="nil"/>
              <w:bottom w:val="single" w:color="auto" w:sz="4" w:space="0"/>
              <w:right w:val="single" w:color="auto" w:sz="4" w:space="0"/>
            </w:tcBorders>
            <w:shd w:val="clear" w:color="auto" w:fill="auto"/>
            <w:vAlign w:val="center"/>
          </w:tcPr>
          <w:p>
            <w:pPr>
              <w:jc w:val="center"/>
              <w:rPr>
                <w:kern w:val="0"/>
                <w:sz w:val="20"/>
                <w:szCs w:val="20"/>
              </w:rPr>
            </w:pPr>
            <w:r>
              <w:rPr>
                <w:kern w:val="0"/>
                <w:sz w:val="20"/>
                <w:szCs w:val="20"/>
              </w:rPr>
              <w:t>70</w:t>
            </w:r>
          </w:p>
        </w:tc>
        <w:tc>
          <w:tcPr>
            <w:tcW w:w="2017" w:type="dxa"/>
            <w:tcBorders>
              <w:top w:val="nil"/>
              <w:left w:val="nil"/>
              <w:bottom w:val="single" w:color="auto" w:sz="4" w:space="0"/>
              <w:right w:val="single" w:color="auto" w:sz="4" w:space="0"/>
            </w:tcBorders>
            <w:shd w:val="clear" w:color="auto" w:fill="auto"/>
            <w:vAlign w:val="center"/>
          </w:tcPr>
          <w:p>
            <w:pPr>
              <w:jc w:val="center"/>
              <w:rPr>
                <w:kern w:val="0"/>
                <w:sz w:val="20"/>
                <w:szCs w:val="20"/>
              </w:rPr>
            </w:pPr>
            <w:r>
              <w:rPr>
                <w:kern w:val="0"/>
                <w:sz w:val="20"/>
                <w:szCs w:val="20"/>
              </w:rPr>
              <w:t>100</w:t>
            </w:r>
          </w:p>
        </w:tc>
      </w:tr>
      <w:tr>
        <w:tblPrEx>
          <w:tblCellMar>
            <w:top w:w="0" w:type="dxa"/>
            <w:left w:w="108" w:type="dxa"/>
            <w:bottom w:w="0" w:type="dxa"/>
            <w:right w:w="108" w:type="dxa"/>
          </w:tblCellMar>
        </w:tblPrEx>
        <w:trPr>
          <w:trHeight w:val="28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1.4</w:t>
            </w:r>
          </w:p>
        </w:tc>
        <w:tc>
          <w:tcPr>
            <w:tcW w:w="4447"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急性病身故</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7</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10</w:t>
            </w:r>
          </w:p>
        </w:tc>
      </w:tr>
      <w:tr>
        <w:tblPrEx>
          <w:tblCellMar>
            <w:top w:w="0" w:type="dxa"/>
            <w:left w:w="108" w:type="dxa"/>
            <w:bottom w:w="0" w:type="dxa"/>
            <w:right w:w="108" w:type="dxa"/>
          </w:tblCellMar>
        </w:tblPrEx>
        <w:trPr>
          <w:trHeight w:val="28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kern w:val="0"/>
                <w:sz w:val="24"/>
              </w:rPr>
            </w:pPr>
            <w:r>
              <w:rPr>
                <w:rFonts w:hint="eastAsia" w:ascii="宋体" w:hAnsi="宋体" w:cs="宋体"/>
                <w:b/>
                <w:bCs/>
                <w:kern w:val="0"/>
                <w:sz w:val="24"/>
              </w:rPr>
              <w:t>2</w:t>
            </w:r>
          </w:p>
        </w:tc>
        <w:tc>
          <w:tcPr>
            <w:tcW w:w="4447"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医疗保障</w:t>
            </w:r>
          </w:p>
        </w:tc>
        <w:tc>
          <w:tcPr>
            <w:tcW w:w="4034"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9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2.1</w:t>
            </w:r>
          </w:p>
        </w:tc>
        <w:tc>
          <w:tcPr>
            <w:tcW w:w="4447"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海外紧急医疗费用（含门急诊、住院及住院垫付费用）</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30</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30</w:t>
            </w:r>
          </w:p>
        </w:tc>
      </w:tr>
      <w:tr>
        <w:tblPrEx>
          <w:tblCellMar>
            <w:top w:w="0" w:type="dxa"/>
            <w:left w:w="108" w:type="dxa"/>
            <w:bottom w:w="0" w:type="dxa"/>
            <w:right w:w="108" w:type="dxa"/>
          </w:tblCellMar>
        </w:tblPrEx>
        <w:trPr>
          <w:trHeight w:val="28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2.2</w:t>
            </w:r>
          </w:p>
        </w:tc>
        <w:tc>
          <w:tcPr>
            <w:tcW w:w="4447"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意外紧急牙科门诊</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0.8</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1</w:t>
            </w:r>
          </w:p>
        </w:tc>
      </w:tr>
      <w:tr>
        <w:tblPrEx>
          <w:tblCellMar>
            <w:top w:w="0" w:type="dxa"/>
            <w:left w:w="108" w:type="dxa"/>
            <w:bottom w:w="0" w:type="dxa"/>
            <w:right w:w="108" w:type="dxa"/>
          </w:tblCellMar>
        </w:tblPrEx>
        <w:trPr>
          <w:trHeight w:val="28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kern w:val="0"/>
                <w:sz w:val="24"/>
              </w:rPr>
            </w:pPr>
            <w:r>
              <w:rPr>
                <w:rFonts w:hint="eastAsia" w:ascii="宋体" w:hAnsi="宋体" w:cs="宋体"/>
                <w:b/>
                <w:bCs/>
                <w:kern w:val="0"/>
                <w:sz w:val="24"/>
              </w:rPr>
              <w:t>3</w:t>
            </w:r>
          </w:p>
        </w:tc>
        <w:tc>
          <w:tcPr>
            <w:tcW w:w="4447"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境外紧急</w:t>
            </w:r>
            <w:r>
              <w:rPr>
                <w:rFonts w:hint="eastAsia" w:ascii="宋体" w:hAnsi="宋体" w:cs="宋体"/>
                <w:b/>
                <w:bCs/>
                <w:color w:val="FFFFFF"/>
                <w:kern w:val="0"/>
                <w:sz w:val="20"/>
                <w:szCs w:val="20"/>
              </w:rPr>
              <w:t>救援</w:t>
            </w:r>
          </w:p>
        </w:tc>
        <w:tc>
          <w:tcPr>
            <w:tcW w:w="4034"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FFFFFF"/>
                <w:kern w:val="0"/>
                <w:sz w:val="20"/>
                <w:szCs w:val="20"/>
              </w:rPr>
            </w:pPr>
          </w:p>
        </w:tc>
      </w:tr>
      <w:tr>
        <w:tblPrEx>
          <w:tblCellMar>
            <w:top w:w="0" w:type="dxa"/>
            <w:left w:w="108" w:type="dxa"/>
            <w:bottom w:w="0" w:type="dxa"/>
            <w:right w:w="108" w:type="dxa"/>
          </w:tblCellMar>
        </w:tblPrEx>
        <w:trPr>
          <w:trHeight w:val="28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3.1</w:t>
            </w:r>
          </w:p>
        </w:tc>
        <w:tc>
          <w:tcPr>
            <w:tcW w:w="4447"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境外紧急救援责任（包括以下7项)</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30</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30</w:t>
            </w:r>
          </w:p>
        </w:tc>
      </w:tr>
      <w:tr>
        <w:tblPrEx>
          <w:tblCellMar>
            <w:top w:w="0" w:type="dxa"/>
            <w:left w:w="108" w:type="dxa"/>
            <w:bottom w:w="0" w:type="dxa"/>
            <w:right w:w="108" w:type="dxa"/>
          </w:tblCellMar>
        </w:tblPrEx>
        <w:trPr>
          <w:trHeight w:val="28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3.1.1</w:t>
            </w:r>
          </w:p>
        </w:tc>
        <w:tc>
          <w:tcPr>
            <w:tcW w:w="4447" w:type="dxa"/>
            <w:tcBorders>
              <w:top w:val="nil"/>
              <w:left w:val="nil"/>
              <w:bottom w:val="single" w:color="auto" w:sz="4" w:space="0"/>
              <w:right w:val="single" w:color="auto" w:sz="4" w:space="0"/>
            </w:tcBorders>
            <w:shd w:val="clear" w:color="auto" w:fill="auto"/>
            <w:vAlign w:val="center"/>
          </w:tcPr>
          <w:p>
            <w:pPr>
              <w:jc w:val="left"/>
              <w:rPr>
                <w:b/>
                <w:bCs/>
                <w:color w:val="000000"/>
                <w:kern w:val="0"/>
                <w:sz w:val="20"/>
                <w:szCs w:val="20"/>
              </w:rPr>
            </w:pPr>
            <w:r>
              <w:rPr>
                <w:b/>
                <w:bCs/>
                <w:color w:val="000000"/>
                <w:kern w:val="0"/>
                <w:sz w:val="20"/>
                <w:szCs w:val="20"/>
              </w:rPr>
              <w:t>1.24</w:t>
            </w:r>
            <w:r>
              <w:rPr>
                <w:rFonts w:hint="eastAsia" w:ascii="宋体" w:hAnsi="宋体"/>
                <w:b/>
                <w:bCs/>
                <w:color w:val="000000"/>
                <w:kern w:val="0"/>
                <w:sz w:val="20"/>
                <w:szCs w:val="20"/>
              </w:rPr>
              <w:t>小时援助热线</w:t>
            </w:r>
          </w:p>
        </w:tc>
        <w:tc>
          <w:tcPr>
            <w:tcW w:w="20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包含</w:t>
            </w:r>
          </w:p>
        </w:tc>
        <w:tc>
          <w:tcPr>
            <w:tcW w:w="20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包含</w:t>
            </w:r>
          </w:p>
        </w:tc>
      </w:tr>
      <w:tr>
        <w:tblPrEx>
          <w:tblCellMar>
            <w:top w:w="0" w:type="dxa"/>
            <w:left w:w="108" w:type="dxa"/>
            <w:bottom w:w="0" w:type="dxa"/>
            <w:right w:w="108" w:type="dxa"/>
          </w:tblCellMar>
        </w:tblPrEx>
        <w:trPr>
          <w:trHeight w:val="28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3.1.2</w:t>
            </w:r>
          </w:p>
        </w:tc>
        <w:tc>
          <w:tcPr>
            <w:tcW w:w="4447" w:type="dxa"/>
            <w:tcBorders>
              <w:top w:val="nil"/>
              <w:left w:val="nil"/>
              <w:bottom w:val="single" w:color="auto" w:sz="4" w:space="0"/>
              <w:right w:val="single" w:color="auto" w:sz="4" w:space="0"/>
            </w:tcBorders>
            <w:shd w:val="clear" w:color="auto" w:fill="auto"/>
            <w:vAlign w:val="center"/>
          </w:tcPr>
          <w:p>
            <w:pPr>
              <w:jc w:val="left"/>
              <w:rPr>
                <w:b/>
                <w:bCs/>
                <w:color w:val="000000"/>
                <w:kern w:val="0"/>
                <w:sz w:val="20"/>
                <w:szCs w:val="20"/>
              </w:rPr>
            </w:pPr>
            <w:r>
              <w:rPr>
                <w:b/>
                <w:bCs/>
                <w:color w:val="000000"/>
                <w:kern w:val="0"/>
                <w:sz w:val="20"/>
                <w:szCs w:val="20"/>
              </w:rPr>
              <w:t>2.</w:t>
            </w:r>
            <w:r>
              <w:rPr>
                <w:rFonts w:hint="eastAsia" w:ascii="宋体" w:hAnsi="宋体"/>
                <w:b/>
                <w:bCs/>
                <w:color w:val="000000"/>
                <w:kern w:val="0"/>
                <w:sz w:val="20"/>
                <w:szCs w:val="20"/>
              </w:rPr>
              <w:t>安排就医</w:t>
            </w:r>
          </w:p>
        </w:tc>
        <w:tc>
          <w:tcPr>
            <w:tcW w:w="20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实际费用</w:t>
            </w:r>
          </w:p>
        </w:tc>
        <w:tc>
          <w:tcPr>
            <w:tcW w:w="20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实际费用</w:t>
            </w:r>
          </w:p>
        </w:tc>
      </w:tr>
      <w:tr>
        <w:tblPrEx>
          <w:tblCellMar>
            <w:top w:w="0" w:type="dxa"/>
            <w:left w:w="108" w:type="dxa"/>
            <w:bottom w:w="0" w:type="dxa"/>
            <w:right w:w="108" w:type="dxa"/>
          </w:tblCellMar>
        </w:tblPrEx>
        <w:trPr>
          <w:trHeight w:val="28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3.1.3</w:t>
            </w:r>
          </w:p>
        </w:tc>
        <w:tc>
          <w:tcPr>
            <w:tcW w:w="4447" w:type="dxa"/>
            <w:tcBorders>
              <w:top w:val="nil"/>
              <w:left w:val="nil"/>
              <w:bottom w:val="single" w:color="auto" w:sz="4" w:space="0"/>
              <w:right w:val="single" w:color="auto" w:sz="4" w:space="0"/>
            </w:tcBorders>
            <w:shd w:val="clear" w:color="auto" w:fill="auto"/>
            <w:vAlign w:val="center"/>
          </w:tcPr>
          <w:p>
            <w:pPr>
              <w:jc w:val="left"/>
              <w:rPr>
                <w:b/>
                <w:bCs/>
                <w:color w:val="000000"/>
                <w:kern w:val="0"/>
                <w:sz w:val="20"/>
                <w:szCs w:val="20"/>
              </w:rPr>
            </w:pPr>
            <w:r>
              <w:rPr>
                <w:b/>
                <w:bCs/>
                <w:color w:val="000000"/>
                <w:kern w:val="0"/>
                <w:sz w:val="20"/>
                <w:szCs w:val="20"/>
              </w:rPr>
              <w:t>3.</w:t>
            </w:r>
            <w:r>
              <w:rPr>
                <w:rFonts w:hint="eastAsia" w:ascii="宋体" w:hAnsi="宋体"/>
                <w:b/>
                <w:bCs/>
                <w:color w:val="000000"/>
                <w:kern w:val="0"/>
                <w:sz w:val="20"/>
                <w:szCs w:val="20"/>
              </w:rPr>
              <w:t>转院治疗</w:t>
            </w:r>
          </w:p>
        </w:tc>
        <w:tc>
          <w:tcPr>
            <w:tcW w:w="20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实际费用</w:t>
            </w:r>
          </w:p>
        </w:tc>
        <w:tc>
          <w:tcPr>
            <w:tcW w:w="20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实际费用</w:t>
            </w:r>
          </w:p>
        </w:tc>
      </w:tr>
      <w:tr>
        <w:tblPrEx>
          <w:tblCellMar>
            <w:top w:w="0" w:type="dxa"/>
            <w:left w:w="108" w:type="dxa"/>
            <w:bottom w:w="0" w:type="dxa"/>
            <w:right w:w="108" w:type="dxa"/>
          </w:tblCellMar>
        </w:tblPrEx>
        <w:trPr>
          <w:trHeight w:val="28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3.1.4</w:t>
            </w:r>
          </w:p>
        </w:tc>
        <w:tc>
          <w:tcPr>
            <w:tcW w:w="4447" w:type="dxa"/>
            <w:tcBorders>
              <w:top w:val="nil"/>
              <w:left w:val="nil"/>
              <w:bottom w:val="single" w:color="auto" w:sz="4" w:space="0"/>
              <w:right w:val="single" w:color="auto" w:sz="4" w:space="0"/>
            </w:tcBorders>
            <w:shd w:val="clear" w:color="auto" w:fill="auto"/>
            <w:vAlign w:val="center"/>
          </w:tcPr>
          <w:p>
            <w:pPr>
              <w:jc w:val="left"/>
              <w:rPr>
                <w:b/>
                <w:bCs/>
                <w:color w:val="000000"/>
                <w:kern w:val="0"/>
                <w:sz w:val="20"/>
                <w:szCs w:val="20"/>
              </w:rPr>
            </w:pPr>
            <w:r>
              <w:rPr>
                <w:b/>
                <w:bCs/>
                <w:color w:val="000000"/>
                <w:kern w:val="0"/>
                <w:sz w:val="20"/>
                <w:szCs w:val="20"/>
              </w:rPr>
              <w:t>4.</w:t>
            </w:r>
            <w:r>
              <w:rPr>
                <w:rFonts w:hint="eastAsia" w:ascii="宋体" w:hAnsi="宋体"/>
                <w:b/>
                <w:bCs/>
                <w:color w:val="000000"/>
                <w:kern w:val="0"/>
                <w:sz w:val="20"/>
                <w:szCs w:val="20"/>
              </w:rPr>
              <w:t>转回原居住地</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1.5</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2</w:t>
            </w:r>
          </w:p>
        </w:tc>
      </w:tr>
      <w:tr>
        <w:tblPrEx>
          <w:tblCellMar>
            <w:top w:w="0" w:type="dxa"/>
            <w:left w:w="108" w:type="dxa"/>
            <w:bottom w:w="0" w:type="dxa"/>
            <w:right w:w="108" w:type="dxa"/>
          </w:tblCellMar>
        </w:tblPrEx>
        <w:trPr>
          <w:trHeight w:val="28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3.1.5</w:t>
            </w:r>
          </w:p>
        </w:tc>
        <w:tc>
          <w:tcPr>
            <w:tcW w:w="4447" w:type="dxa"/>
            <w:tcBorders>
              <w:top w:val="nil"/>
              <w:left w:val="nil"/>
              <w:bottom w:val="single" w:color="auto" w:sz="4" w:space="0"/>
              <w:right w:val="single" w:color="auto" w:sz="4" w:space="0"/>
            </w:tcBorders>
            <w:shd w:val="clear" w:color="auto" w:fill="auto"/>
            <w:vAlign w:val="center"/>
          </w:tcPr>
          <w:p>
            <w:pPr>
              <w:jc w:val="left"/>
              <w:rPr>
                <w:b/>
                <w:bCs/>
                <w:color w:val="000000"/>
                <w:kern w:val="0"/>
                <w:sz w:val="20"/>
                <w:szCs w:val="20"/>
              </w:rPr>
            </w:pPr>
            <w:r>
              <w:rPr>
                <w:b/>
                <w:bCs/>
                <w:color w:val="000000"/>
                <w:kern w:val="0"/>
                <w:sz w:val="20"/>
                <w:szCs w:val="20"/>
              </w:rPr>
              <w:t>5.</w:t>
            </w:r>
            <w:r>
              <w:rPr>
                <w:rFonts w:hint="eastAsia" w:ascii="宋体" w:hAnsi="宋体"/>
                <w:b/>
                <w:bCs/>
                <w:color w:val="000000"/>
                <w:kern w:val="0"/>
                <w:sz w:val="20"/>
                <w:szCs w:val="20"/>
              </w:rPr>
              <w:t>未成年子女送返</w:t>
            </w:r>
          </w:p>
        </w:tc>
        <w:tc>
          <w:tcPr>
            <w:tcW w:w="20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经济舱</w:t>
            </w:r>
          </w:p>
        </w:tc>
        <w:tc>
          <w:tcPr>
            <w:tcW w:w="201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经济舱</w:t>
            </w:r>
          </w:p>
        </w:tc>
      </w:tr>
      <w:tr>
        <w:tblPrEx>
          <w:tblCellMar>
            <w:top w:w="0" w:type="dxa"/>
            <w:left w:w="108" w:type="dxa"/>
            <w:bottom w:w="0" w:type="dxa"/>
            <w:right w:w="108" w:type="dxa"/>
          </w:tblCellMar>
        </w:tblPrEx>
        <w:trPr>
          <w:trHeight w:val="90" w:hRule="atLeast"/>
        </w:trPr>
        <w:tc>
          <w:tcPr>
            <w:tcW w:w="866" w:type="dxa"/>
            <w:vMerge w:val="restart"/>
            <w:tcBorders>
              <w:top w:val="nil"/>
              <w:left w:val="single" w:color="auto" w:sz="4" w:space="0"/>
              <w:bottom w:val="single" w:color="000000"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3.1.6</w:t>
            </w:r>
          </w:p>
        </w:tc>
        <w:tc>
          <w:tcPr>
            <w:tcW w:w="4447" w:type="dxa"/>
            <w:tcBorders>
              <w:top w:val="nil"/>
              <w:left w:val="nil"/>
              <w:bottom w:val="single" w:color="auto" w:sz="4" w:space="0"/>
              <w:right w:val="single" w:color="auto" w:sz="4" w:space="0"/>
            </w:tcBorders>
            <w:shd w:val="clear" w:color="auto" w:fill="auto"/>
            <w:vAlign w:val="center"/>
          </w:tcPr>
          <w:p>
            <w:pPr>
              <w:jc w:val="left"/>
              <w:rPr>
                <w:b/>
                <w:bCs/>
                <w:color w:val="000000"/>
                <w:kern w:val="0"/>
                <w:sz w:val="20"/>
                <w:szCs w:val="20"/>
              </w:rPr>
            </w:pPr>
            <w:r>
              <w:rPr>
                <w:b/>
                <w:bCs/>
                <w:color w:val="000000"/>
                <w:kern w:val="0"/>
                <w:sz w:val="20"/>
                <w:szCs w:val="20"/>
              </w:rPr>
              <w:t>6.</w:t>
            </w:r>
            <w:r>
              <w:rPr>
                <w:rFonts w:hint="eastAsia" w:ascii="宋体" w:hAnsi="宋体"/>
                <w:b/>
                <w:bCs/>
                <w:color w:val="000000"/>
                <w:kern w:val="0"/>
                <w:sz w:val="20"/>
                <w:szCs w:val="20"/>
              </w:rPr>
              <w:t>遗体处理</w:t>
            </w:r>
          </w:p>
        </w:tc>
        <w:tc>
          <w:tcPr>
            <w:tcW w:w="2017" w:type="dxa"/>
            <w:tcBorders>
              <w:top w:val="nil"/>
              <w:left w:val="nil"/>
              <w:bottom w:val="single" w:color="auto" w:sz="4" w:space="0"/>
              <w:right w:val="single" w:color="auto" w:sz="4" w:space="0"/>
            </w:tcBorders>
            <w:shd w:val="clear" w:color="auto" w:fill="auto"/>
            <w:vAlign w:val="center"/>
          </w:tcPr>
          <w:p>
            <w:pPr>
              <w:jc w:val="center"/>
              <w:rPr>
                <w:b/>
                <w:bCs/>
                <w:color w:val="FF0000"/>
                <w:kern w:val="0"/>
                <w:sz w:val="20"/>
                <w:szCs w:val="20"/>
              </w:rPr>
            </w:pPr>
          </w:p>
        </w:tc>
        <w:tc>
          <w:tcPr>
            <w:tcW w:w="2017" w:type="dxa"/>
            <w:tcBorders>
              <w:top w:val="nil"/>
              <w:left w:val="nil"/>
              <w:bottom w:val="single" w:color="auto" w:sz="4" w:space="0"/>
              <w:right w:val="single" w:color="auto" w:sz="4" w:space="0"/>
            </w:tcBorders>
            <w:shd w:val="clear" w:color="auto" w:fill="auto"/>
            <w:vAlign w:val="center"/>
          </w:tcPr>
          <w:p>
            <w:pPr>
              <w:jc w:val="center"/>
              <w:rPr>
                <w:b/>
                <w:bCs/>
                <w:color w:val="FF0000"/>
                <w:kern w:val="0"/>
                <w:sz w:val="20"/>
                <w:szCs w:val="20"/>
              </w:rPr>
            </w:pPr>
          </w:p>
        </w:tc>
      </w:tr>
      <w:tr>
        <w:tblPrEx>
          <w:tblCellMar>
            <w:top w:w="0" w:type="dxa"/>
            <w:left w:w="108" w:type="dxa"/>
            <w:bottom w:w="0" w:type="dxa"/>
            <w:right w:w="108" w:type="dxa"/>
          </w:tblCellMar>
        </w:tblPrEx>
        <w:trPr>
          <w:trHeight w:val="283" w:hRule="atLeast"/>
        </w:trPr>
        <w:tc>
          <w:tcPr>
            <w:tcW w:w="866"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4447" w:type="dxa"/>
            <w:tcBorders>
              <w:top w:val="nil"/>
              <w:left w:val="nil"/>
              <w:bottom w:val="single" w:color="auto" w:sz="4" w:space="0"/>
              <w:right w:val="single" w:color="auto" w:sz="4" w:space="0"/>
            </w:tcBorders>
            <w:shd w:val="clear" w:color="auto" w:fill="auto"/>
            <w:vAlign w:val="center"/>
          </w:tcPr>
          <w:p>
            <w:pPr>
              <w:jc w:val="left"/>
              <w:rPr>
                <w:b/>
                <w:bCs/>
                <w:color w:val="000000"/>
                <w:kern w:val="0"/>
                <w:sz w:val="20"/>
                <w:szCs w:val="20"/>
              </w:rPr>
            </w:pPr>
            <w:r>
              <w:rPr>
                <w:b/>
                <w:bCs/>
                <w:color w:val="000000"/>
                <w:kern w:val="0"/>
                <w:sz w:val="20"/>
                <w:szCs w:val="20"/>
              </w:rPr>
              <w:t>a</w:t>
            </w:r>
            <w:r>
              <w:rPr>
                <w:rFonts w:hint="eastAsia" w:ascii="宋体" w:hAnsi="宋体"/>
                <w:b/>
                <w:bCs/>
                <w:color w:val="000000"/>
                <w:kern w:val="0"/>
                <w:sz w:val="20"/>
                <w:szCs w:val="20"/>
              </w:rPr>
              <w:t>）遗体运送回国</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5</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5</w:t>
            </w:r>
          </w:p>
        </w:tc>
      </w:tr>
      <w:tr>
        <w:tblPrEx>
          <w:tblCellMar>
            <w:top w:w="0" w:type="dxa"/>
            <w:left w:w="108" w:type="dxa"/>
            <w:bottom w:w="0" w:type="dxa"/>
            <w:right w:w="108" w:type="dxa"/>
          </w:tblCellMar>
        </w:tblPrEx>
        <w:trPr>
          <w:trHeight w:val="283" w:hRule="atLeast"/>
        </w:trPr>
        <w:tc>
          <w:tcPr>
            <w:tcW w:w="866"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4447" w:type="dxa"/>
            <w:tcBorders>
              <w:top w:val="nil"/>
              <w:left w:val="nil"/>
              <w:bottom w:val="single" w:color="auto" w:sz="4" w:space="0"/>
              <w:right w:val="single" w:color="auto" w:sz="4" w:space="0"/>
            </w:tcBorders>
            <w:shd w:val="clear" w:color="auto" w:fill="auto"/>
            <w:vAlign w:val="center"/>
          </w:tcPr>
          <w:p>
            <w:pPr>
              <w:jc w:val="left"/>
              <w:rPr>
                <w:b/>
                <w:bCs/>
                <w:color w:val="000000"/>
                <w:kern w:val="0"/>
                <w:sz w:val="20"/>
                <w:szCs w:val="20"/>
              </w:rPr>
            </w:pPr>
            <w:r>
              <w:rPr>
                <w:b/>
                <w:bCs/>
                <w:color w:val="000000"/>
                <w:kern w:val="0"/>
                <w:sz w:val="20"/>
                <w:szCs w:val="20"/>
              </w:rPr>
              <w:t>b</w:t>
            </w:r>
            <w:r>
              <w:rPr>
                <w:rFonts w:hint="eastAsia" w:ascii="宋体" w:hAnsi="宋体"/>
                <w:b/>
                <w:bCs/>
                <w:color w:val="000000"/>
                <w:kern w:val="0"/>
                <w:sz w:val="20"/>
                <w:szCs w:val="20"/>
              </w:rPr>
              <w:t>）就地安葬</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5</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5</w:t>
            </w:r>
          </w:p>
        </w:tc>
      </w:tr>
      <w:tr>
        <w:tblPrEx>
          <w:tblCellMar>
            <w:top w:w="0" w:type="dxa"/>
            <w:left w:w="108" w:type="dxa"/>
            <w:bottom w:w="0" w:type="dxa"/>
            <w:right w:w="108" w:type="dxa"/>
          </w:tblCellMar>
        </w:tblPrEx>
        <w:trPr>
          <w:trHeight w:val="283" w:hRule="atLeast"/>
        </w:trPr>
        <w:tc>
          <w:tcPr>
            <w:tcW w:w="866" w:type="dxa"/>
            <w:vMerge w:val="continue"/>
            <w:tcBorders>
              <w:top w:val="nil"/>
              <w:left w:val="single" w:color="auto" w:sz="4" w:space="0"/>
              <w:bottom w:val="single" w:color="000000" w:sz="4" w:space="0"/>
              <w:right w:val="single" w:color="auto" w:sz="4" w:space="0"/>
            </w:tcBorders>
            <w:vAlign w:val="center"/>
          </w:tcPr>
          <w:p>
            <w:pPr>
              <w:jc w:val="left"/>
              <w:rPr>
                <w:rFonts w:ascii="宋体" w:hAnsi="宋体" w:cs="宋体"/>
                <w:kern w:val="0"/>
                <w:sz w:val="24"/>
              </w:rPr>
            </w:pPr>
          </w:p>
        </w:tc>
        <w:tc>
          <w:tcPr>
            <w:tcW w:w="4447" w:type="dxa"/>
            <w:tcBorders>
              <w:top w:val="nil"/>
              <w:left w:val="nil"/>
              <w:bottom w:val="single" w:color="auto" w:sz="4" w:space="0"/>
              <w:right w:val="single" w:color="auto" w:sz="4" w:space="0"/>
            </w:tcBorders>
            <w:shd w:val="clear" w:color="auto" w:fill="auto"/>
            <w:vAlign w:val="center"/>
          </w:tcPr>
          <w:p>
            <w:pPr>
              <w:jc w:val="left"/>
              <w:rPr>
                <w:b/>
                <w:bCs/>
                <w:color w:val="000000"/>
                <w:kern w:val="0"/>
                <w:sz w:val="20"/>
                <w:szCs w:val="20"/>
              </w:rPr>
            </w:pPr>
            <w:r>
              <w:rPr>
                <w:b/>
                <w:bCs/>
                <w:color w:val="000000"/>
                <w:kern w:val="0"/>
                <w:sz w:val="20"/>
                <w:szCs w:val="20"/>
              </w:rPr>
              <w:t>c</w:t>
            </w:r>
            <w:r>
              <w:rPr>
                <w:rFonts w:hint="eastAsia" w:ascii="宋体" w:hAnsi="宋体"/>
                <w:b/>
                <w:bCs/>
                <w:color w:val="000000"/>
                <w:kern w:val="0"/>
                <w:sz w:val="20"/>
                <w:szCs w:val="20"/>
              </w:rPr>
              <w:t>）火葬和运送骨灰回国</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2</w:t>
            </w:r>
          </w:p>
        </w:tc>
        <w:tc>
          <w:tcPr>
            <w:tcW w:w="2017" w:type="dxa"/>
            <w:tcBorders>
              <w:top w:val="nil"/>
              <w:left w:val="nil"/>
              <w:bottom w:val="single" w:color="auto" w:sz="4" w:space="0"/>
              <w:right w:val="single" w:color="auto" w:sz="4" w:space="0"/>
            </w:tcBorders>
            <w:shd w:val="clear" w:color="auto" w:fill="auto"/>
            <w:vAlign w:val="center"/>
          </w:tcPr>
          <w:p>
            <w:pPr>
              <w:jc w:val="center"/>
              <w:rPr>
                <w:color w:val="000000"/>
                <w:kern w:val="0"/>
                <w:sz w:val="20"/>
                <w:szCs w:val="20"/>
              </w:rPr>
            </w:pPr>
            <w:r>
              <w:rPr>
                <w:color w:val="000000"/>
                <w:kern w:val="0"/>
                <w:sz w:val="20"/>
                <w:szCs w:val="20"/>
              </w:rPr>
              <w:t>2</w:t>
            </w:r>
          </w:p>
        </w:tc>
      </w:tr>
      <w:tr>
        <w:tblPrEx>
          <w:tblCellMar>
            <w:top w:w="0" w:type="dxa"/>
            <w:left w:w="108" w:type="dxa"/>
            <w:bottom w:w="0" w:type="dxa"/>
            <w:right w:w="108" w:type="dxa"/>
          </w:tblCellMar>
        </w:tblPrEx>
        <w:trPr>
          <w:trHeight w:val="76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3.1.7</w:t>
            </w:r>
          </w:p>
        </w:tc>
        <w:tc>
          <w:tcPr>
            <w:tcW w:w="4447" w:type="dxa"/>
            <w:tcBorders>
              <w:top w:val="nil"/>
              <w:left w:val="nil"/>
              <w:bottom w:val="single" w:color="auto" w:sz="4" w:space="0"/>
              <w:right w:val="single" w:color="auto" w:sz="4" w:space="0"/>
            </w:tcBorders>
            <w:shd w:val="clear" w:color="auto" w:fill="auto"/>
            <w:vAlign w:val="center"/>
          </w:tcPr>
          <w:p>
            <w:pPr>
              <w:numPr>
                <w:ilvl w:val="0"/>
                <w:numId w:val="1"/>
              </w:numPr>
              <w:jc w:val="left"/>
              <w:rPr>
                <w:rFonts w:hint="eastAsia" w:ascii="宋体" w:hAnsi="宋体"/>
                <w:b/>
                <w:bCs/>
                <w:color w:val="000000"/>
                <w:kern w:val="0"/>
                <w:sz w:val="20"/>
                <w:szCs w:val="20"/>
              </w:rPr>
            </w:pPr>
            <w:r>
              <w:rPr>
                <w:rFonts w:hint="eastAsia" w:ascii="宋体" w:hAnsi="宋体"/>
                <w:b/>
                <w:bCs/>
                <w:color w:val="000000"/>
                <w:kern w:val="0"/>
                <w:sz w:val="20"/>
                <w:szCs w:val="20"/>
              </w:rPr>
              <w:t>亲属</w:t>
            </w:r>
            <w:r>
              <w:rPr>
                <w:rFonts w:hint="eastAsia" w:ascii="宋体" w:hAnsi="宋体"/>
                <w:b/>
                <w:bCs/>
                <w:color w:val="000000"/>
                <w:kern w:val="0"/>
                <w:sz w:val="20"/>
                <w:szCs w:val="20"/>
                <w:lang w:eastAsia="zh-CN"/>
              </w:rPr>
              <w:t>慰问探访或</w:t>
            </w:r>
            <w:r>
              <w:rPr>
                <w:rFonts w:hint="eastAsia" w:ascii="宋体" w:hAnsi="宋体"/>
                <w:b/>
                <w:bCs/>
                <w:color w:val="000000"/>
                <w:kern w:val="0"/>
                <w:sz w:val="20"/>
                <w:szCs w:val="20"/>
              </w:rPr>
              <w:t>处理后事</w:t>
            </w:r>
          </w:p>
          <w:p>
            <w:pPr>
              <w:numPr>
                <w:numId w:val="0"/>
              </w:numPr>
              <w:jc w:val="left"/>
              <w:rPr>
                <w:b/>
                <w:bCs/>
                <w:color w:val="000000"/>
                <w:kern w:val="0"/>
                <w:sz w:val="20"/>
                <w:szCs w:val="20"/>
              </w:rPr>
            </w:pPr>
            <w:bookmarkStart w:id="0" w:name="_GoBack"/>
            <w:bookmarkEnd w:id="0"/>
            <w:r>
              <w:rPr>
                <w:rFonts w:hint="eastAsia" w:ascii="宋体" w:hAnsi="宋体"/>
                <w:b/>
                <w:bCs/>
                <w:color w:val="000000"/>
                <w:kern w:val="0"/>
                <w:sz w:val="20"/>
                <w:szCs w:val="20"/>
              </w:rPr>
              <w:t>（提供一位亲属经济舱机票）</w:t>
            </w:r>
          </w:p>
        </w:tc>
        <w:tc>
          <w:tcPr>
            <w:tcW w:w="2017" w:type="dxa"/>
            <w:tcBorders>
              <w:top w:val="nil"/>
              <w:left w:val="nil"/>
              <w:bottom w:val="nil"/>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实际费用，当地住宿</w:t>
            </w:r>
            <w:r>
              <w:rPr>
                <w:color w:val="000000"/>
                <w:kern w:val="0"/>
                <w:sz w:val="20"/>
                <w:szCs w:val="20"/>
              </w:rPr>
              <w:t>600</w:t>
            </w:r>
            <w:r>
              <w:rPr>
                <w:rFonts w:hint="eastAsia" w:ascii="宋体" w:hAnsi="宋体" w:cs="宋体"/>
                <w:color w:val="000000"/>
                <w:kern w:val="0"/>
                <w:sz w:val="20"/>
                <w:szCs w:val="20"/>
              </w:rPr>
              <w:t>元</w:t>
            </w:r>
            <w:r>
              <w:rPr>
                <w:color w:val="000000"/>
                <w:kern w:val="0"/>
                <w:sz w:val="20"/>
                <w:szCs w:val="20"/>
              </w:rPr>
              <w:t>/</w:t>
            </w:r>
            <w:r>
              <w:rPr>
                <w:rFonts w:hint="eastAsia" w:ascii="宋体" w:hAnsi="宋体" w:cs="宋体"/>
                <w:color w:val="000000"/>
                <w:kern w:val="0"/>
                <w:sz w:val="20"/>
                <w:szCs w:val="20"/>
              </w:rPr>
              <w:t>日，</w:t>
            </w:r>
            <w:r>
              <w:rPr>
                <w:color w:val="000000"/>
                <w:kern w:val="0"/>
                <w:sz w:val="20"/>
                <w:szCs w:val="20"/>
              </w:rPr>
              <w:t>10</w:t>
            </w:r>
            <w:r>
              <w:rPr>
                <w:rFonts w:hint="eastAsia" w:ascii="宋体" w:hAnsi="宋体" w:cs="宋体"/>
                <w:color w:val="000000"/>
                <w:kern w:val="0"/>
                <w:sz w:val="20"/>
                <w:szCs w:val="20"/>
              </w:rPr>
              <w:t>日为限。</w:t>
            </w:r>
          </w:p>
        </w:tc>
        <w:tc>
          <w:tcPr>
            <w:tcW w:w="2017" w:type="dxa"/>
            <w:tcBorders>
              <w:top w:val="nil"/>
              <w:left w:val="nil"/>
              <w:bottom w:val="nil"/>
              <w:right w:val="single" w:color="auto" w:sz="4" w:space="0"/>
            </w:tcBorders>
            <w:shd w:val="clear" w:color="auto" w:fill="auto"/>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实际费用，当地住宿</w:t>
            </w:r>
            <w:r>
              <w:rPr>
                <w:color w:val="000000"/>
                <w:kern w:val="0"/>
                <w:sz w:val="20"/>
                <w:szCs w:val="20"/>
              </w:rPr>
              <w:t>800</w:t>
            </w:r>
            <w:r>
              <w:rPr>
                <w:rFonts w:hint="eastAsia" w:ascii="宋体" w:hAnsi="宋体" w:cs="宋体"/>
                <w:color w:val="000000"/>
                <w:kern w:val="0"/>
                <w:sz w:val="20"/>
                <w:szCs w:val="20"/>
              </w:rPr>
              <w:t>元</w:t>
            </w:r>
            <w:r>
              <w:rPr>
                <w:color w:val="000000"/>
                <w:kern w:val="0"/>
                <w:sz w:val="20"/>
                <w:szCs w:val="20"/>
              </w:rPr>
              <w:t>/</w:t>
            </w:r>
            <w:r>
              <w:rPr>
                <w:rFonts w:hint="eastAsia" w:ascii="宋体" w:hAnsi="宋体" w:cs="宋体"/>
                <w:color w:val="000000"/>
                <w:kern w:val="0"/>
                <w:sz w:val="20"/>
                <w:szCs w:val="20"/>
              </w:rPr>
              <w:t>日，</w:t>
            </w:r>
            <w:r>
              <w:rPr>
                <w:color w:val="000000"/>
                <w:kern w:val="0"/>
                <w:sz w:val="20"/>
                <w:szCs w:val="20"/>
              </w:rPr>
              <w:t>10</w:t>
            </w:r>
            <w:r>
              <w:rPr>
                <w:rFonts w:hint="eastAsia" w:ascii="宋体" w:hAnsi="宋体" w:cs="宋体"/>
                <w:color w:val="000000"/>
                <w:kern w:val="0"/>
                <w:sz w:val="20"/>
                <w:szCs w:val="20"/>
              </w:rPr>
              <w:t>日为限。</w:t>
            </w:r>
          </w:p>
        </w:tc>
      </w:tr>
      <w:tr>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b/>
                <w:bCs/>
                <w:kern w:val="0"/>
                <w:sz w:val="24"/>
              </w:rPr>
            </w:pPr>
            <w:r>
              <w:rPr>
                <w:rFonts w:hint="eastAsia" w:ascii="宋体" w:hAnsi="宋体" w:cs="宋体"/>
                <w:b/>
                <w:bCs/>
                <w:kern w:val="0"/>
                <w:sz w:val="24"/>
              </w:rPr>
              <w:t>4</w:t>
            </w:r>
          </w:p>
        </w:tc>
        <w:tc>
          <w:tcPr>
            <w:tcW w:w="4447" w:type="dxa"/>
            <w:tcBorders>
              <w:top w:val="nil"/>
              <w:left w:val="nil"/>
              <w:bottom w:val="single" w:color="auto" w:sz="4" w:space="0"/>
              <w:right w:val="single" w:color="auto" w:sz="4" w:space="0"/>
            </w:tcBorders>
            <w:shd w:val="clear" w:color="auto" w:fill="auto"/>
            <w:vAlign w:val="center"/>
          </w:tcPr>
          <w:p>
            <w:pPr>
              <w:jc w:val="left"/>
              <w:rPr>
                <w:rFonts w:ascii="宋体" w:hAnsi="宋体" w:cs="宋体"/>
                <w:b/>
                <w:bCs/>
                <w:color w:val="000000"/>
                <w:kern w:val="0"/>
                <w:sz w:val="20"/>
                <w:szCs w:val="20"/>
              </w:rPr>
            </w:pPr>
            <w:r>
              <w:rPr>
                <w:rFonts w:hint="eastAsia" w:ascii="宋体" w:hAnsi="宋体" w:cs="宋体"/>
                <w:b/>
                <w:bCs/>
                <w:color w:val="000000"/>
                <w:kern w:val="0"/>
                <w:sz w:val="20"/>
                <w:szCs w:val="20"/>
              </w:rPr>
              <w:t>保险期间延长</w:t>
            </w:r>
          </w:p>
        </w:tc>
        <w:tc>
          <w:tcPr>
            <w:tcW w:w="2017" w:type="dxa"/>
            <w:tcBorders>
              <w:top w:val="single" w:color="auto" w:sz="4" w:space="0"/>
              <w:left w:val="nil"/>
              <w:bottom w:val="nil"/>
              <w:right w:val="single" w:color="auto" w:sz="4" w:space="0"/>
            </w:tcBorders>
            <w:shd w:val="clear" w:color="auto" w:fill="auto"/>
            <w:vAlign w:val="center"/>
          </w:tcPr>
          <w:p>
            <w:pPr>
              <w:jc w:val="left"/>
              <w:rPr>
                <w:rFonts w:ascii="宋体" w:hAnsi="宋体" w:cs="宋体"/>
                <w:kern w:val="0"/>
                <w:sz w:val="20"/>
                <w:szCs w:val="20"/>
              </w:rPr>
            </w:pPr>
            <w:r>
              <w:rPr>
                <w:rFonts w:hint="eastAsia" w:ascii="宋体" w:hAnsi="宋体" w:cs="宋体"/>
                <w:kern w:val="0"/>
                <w:sz w:val="20"/>
                <w:szCs w:val="20"/>
              </w:rPr>
              <w:t>最长不超过</w:t>
            </w:r>
            <w:r>
              <w:rPr>
                <w:kern w:val="0"/>
                <w:sz w:val="20"/>
                <w:szCs w:val="20"/>
              </w:rPr>
              <w:t>7</w:t>
            </w:r>
            <w:r>
              <w:rPr>
                <w:rFonts w:hint="eastAsia" w:ascii="宋体" w:hAnsi="宋体" w:cs="宋体"/>
                <w:kern w:val="0"/>
                <w:sz w:val="20"/>
                <w:szCs w:val="20"/>
              </w:rPr>
              <w:t>天</w:t>
            </w:r>
          </w:p>
        </w:tc>
        <w:tc>
          <w:tcPr>
            <w:tcW w:w="2017" w:type="dxa"/>
            <w:tcBorders>
              <w:top w:val="single" w:color="auto" w:sz="4" w:space="0"/>
              <w:left w:val="nil"/>
              <w:bottom w:val="nil"/>
              <w:right w:val="single" w:color="auto" w:sz="4" w:space="0"/>
            </w:tcBorders>
            <w:shd w:val="clear" w:color="auto" w:fill="auto"/>
            <w:vAlign w:val="center"/>
          </w:tcPr>
          <w:p>
            <w:pPr>
              <w:jc w:val="left"/>
              <w:rPr>
                <w:rFonts w:ascii="宋体" w:hAnsi="宋体" w:cs="宋体"/>
                <w:kern w:val="0"/>
                <w:sz w:val="20"/>
                <w:szCs w:val="20"/>
              </w:rPr>
            </w:pPr>
            <w:r>
              <w:rPr>
                <w:rFonts w:hint="eastAsia" w:ascii="宋体" w:hAnsi="宋体" w:cs="宋体"/>
                <w:kern w:val="0"/>
                <w:sz w:val="20"/>
                <w:szCs w:val="20"/>
              </w:rPr>
              <w:t>最长不超过</w:t>
            </w:r>
            <w:r>
              <w:rPr>
                <w:kern w:val="0"/>
                <w:sz w:val="20"/>
                <w:szCs w:val="20"/>
              </w:rPr>
              <w:t>7</w:t>
            </w:r>
            <w:r>
              <w:rPr>
                <w:rFonts w:hint="eastAsia" w:ascii="宋体" w:hAnsi="宋体" w:cs="宋体"/>
                <w:kern w:val="0"/>
                <w:sz w:val="20"/>
                <w:szCs w:val="20"/>
              </w:rPr>
              <w:t>天</w:t>
            </w:r>
          </w:p>
        </w:tc>
      </w:tr>
      <w:tr>
        <w:tblPrEx>
          <w:tblCellMar>
            <w:top w:w="0" w:type="dxa"/>
            <w:left w:w="108" w:type="dxa"/>
            <w:bottom w:w="0" w:type="dxa"/>
            <w:right w:w="108" w:type="dxa"/>
          </w:tblCellMar>
        </w:tblPrEx>
        <w:trPr>
          <w:trHeight w:val="86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宋体" w:hAnsi="宋体" w:cs="宋体"/>
                <w:kern w:val="0"/>
                <w:sz w:val="24"/>
              </w:rPr>
            </w:pPr>
            <w:r>
              <w:rPr>
                <w:rFonts w:hint="eastAsia" w:ascii="宋体" w:hAnsi="宋体" w:cs="宋体"/>
                <w:kern w:val="0"/>
                <w:sz w:val="24"/>
              </w:rPr>
              <w:t>4.1</w:t>
            </w:r>
          </w:p>
        </w:tc>
        <w:tc>
          <w:tcPr>
            <w:tcW w:w="8481" w:type="dxa"/>
            <w:gridSpan w:val="3"/>
            <w:tcBorders>
              <w:top w:val="single" w:color="auto" w:sz="4" w:space="0"/>
              <w:left w:val="nil"/>
              <w:bottom w:val="single" w:color="auto" w:sz="4" w:space="0"/>
              <w:right w:val="single" w:color="000000" w:sz="4" w:space="0"/>
            </w:tcBorders>
            <w:shd w:val="clear" w:color="auto" w:fill="auto"/>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在保险期间旅行时，若被保险人因医疗状况导致旅行应该延期或被保险人预订的返回中国的交通工具由于不可抗力原因导致延误，保险人将根据完成旅行合理及必要所需的时间，延长被保险人的保险期间，最长不超过7天。</w:t>
            </w:r>
          </w:p>
        </w:tc>
      </w:tr>
    </w:tbl>
    <w:p>
      <w:pPr>
        <w:autoSpaceDE w:val="0"/>
        <w:autoSpaceDN w:val="0"/>
        <w:spacing w:before="240" w:after="120"/>
        <w:textAlignment w:val="bottom"/>
      </w:pPr>
    </w:p>
    <w:p>
      <w:pPr>
        <w:autoSpaceDE w:val="0"/>
        <w:autoSpaceDN w:val="0"/>
        <w:spacing w:before="240" w:after="120"/>
        <w:textAlignment w:val="bottom"/>
      </w:pPr>
      <w:r>
        <w:rPr>
          <w:rFonts w:hint="eastAsia"/>
        </w:rPr>
        <w:t>四、需投保国家（或简称）清单：</w:t>
      </w:r>
    </w:p>
    <w:tbl>
      <w:tblPr>
        <w:tblStyle w:val="2"/>
        <w:tblW w:w="9768" w:type="dxa"/>
        <w:tblInd w:w="93" w:type="dxa"/>
        <w:tblLayout w:type="fixed"/>
        <w:tblCellMar>
          <w:top w:w="0" w:type="dxa"/>
          <w:left w:w="108" w:type="dxa"/>
          <w:bottom w:w="0" w:type="dxa"/>
          <w:right w:w="108" w:type="dxa"/>
        </w:tblCellMar>
      </w:tblPr>
      <w:tblGrid>
        <w:gridCol w:w="1433"/>
        <w:gridCol w:w="8335"/>
      </w:tblGrid>
      <w:tr>
        <w:tblPrEx>
          <w:tblCellMar>
            <w:top w:w="0" w:type="dxa"/>
            <w:left w:w="108" w:type="dxa"/>
            <w:bottom w:w="0" w:type="dxa"/>
            <w:right w:w="108" w:type="dxa"/>
          </w:tblCellMar>
        </w:tblPrEx>
        <w:trPr>
          <w:trHeight w:val="264"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地区分类</w:t>
            </w:r>
          </w:p>
        </w:tc>
        <w:tc>
          <w:tcPr>
            <w:tcW w:w="83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需投保国家清单</w:t>
            </w:r>
          </w:p>
        </w:tc>
      </w:tr>
      <w:tr>
        <w:tblPrEx>
          <w:tblCellMar>
            <w:top w:w="0" w:type="dxa"/>
            <w:left w:w="108" w:type="dxa"/>
            <w:bottom w:w="0" w:type="dxa"/>
            <w:right w:w="108" w:type="dxa"/>
          </w:tblCellMar>
        </w:tblPrEx>
        <w:trPr>
          <w:trHeight w:val="912"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中东南亚</w:t>
            </w:r>
          </w:p>
        </w:tc>
        <w:tc>
          <w:tcPr>
            <w:tcW w:w="8335"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kern w:val="0"/>
                <w:sz w:val="24"/>
                <w:lang w:eastAsia="zh-CN"/>
              </w:rPr>
            </w:pPr>
            <w:r>
              <w:rPr>
                <w:rFonts w:hint="eastAsia" w:ascii="宋体" w:hAnsi="宋体" w:cs="宋体"/>
                <w:kern w:val="0"/>
                <w:sz w:val="24"/>
              </w:rPr>
              <w:t>沙特阿拉伯、阿联酋、卡塔尔、科威特、巴林、阿曼、也门、约旦、黎巴嫩、巴勒斯坦、叙利亚、伊拉克、伊朗、巴基斯坦、印度、斯里兰卡、马尔代夫、尼泊尔、孟加拉国</w:t>
            </w:r>
            <w:r>
              <w:rPr>
                <w:rFonts w:hint="eastAsia" w:ascii="宋体" w:hAnsi="宋体" w:cs="宋体"/>
                <w:kern w:val="0"/>
                <w:sz w:val="24"/>
                <w:lang w:eastAsia="zh-CN"/>
              </w:rPr>
              <w:t>、以色列</w:t>
            </w:r>
          </w:p>
        </w:tc>
      </w:tr>
      <w:tr>
        <w:tblPrEx>
          <w:tblCellMar>
            <w:top w:w="0" w:type="dxa"/>
            <w:left w:w="108" w:type="dxa"/>
            <w:bottom w:w="0" w:type="dxa"/>
            <w:right w:w="108" w:type="dxa"/>
          </w:tblCellMar>
        </w:tblPrEx>
        <w:trPr>
          <w:trHeight w:val="25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东南亚</w:t>
            </w:r>
          </w:p>
        </w:tc>
        <w:tc>
          <w:tcPr>
            <w:tcW w:w="8335"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菲律宾、印尼、越南、泰国、老挝、柬埔寨、缅甸、韩国、蒙古</w:t>
            </w:r>
          </w:p>
        </w:tc>
      </w:tr>
      <w:tr>
        <w:tblPrEx>
          <w:tblCellMar>
            <w:top w:w="0" w:type="dxa"/>
            <w:left w:w="108" w:type="dxa"/>
            <w:bottom w:w="0" w:type="dxa"/>
            <w:right w:w="108" w:type="dxa"/>
          </w:tblCellMar>
        </w:tblPrEx>
        <w:trPr>
          <w:trHeight w:val="1356"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美洲</w:t>
            </w:r>
          </w:p>
        </w:tc>
        <w:tc>
          <w:tcPr>
            <w:tcW w:w="8335"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墨西哥、巴拿马、危地马拉、萨尔瓦、牙买加、多米尼加、哥斯达黎加、特立尼达、多巴哥、阿根廷、尼加拉瓜、巴西、哥伦比亚、智利、秘鲁、厄瓜多尔、委内瑞拉、乌拉圭、巴拉圭、玻利维亚、苏里南 圭亚那、百慕大、巴巴多斯、海地库拉索、古巴、洪都拉斯、美国、加拿大 波多黎各、圣卢西亚、巴哈马、多米尼克</w:t>
            </w:r>
          </w:p>
        </w:tc>
      </w:tr>
      <w:tr>
        <w:tblPrEx>
          <w:tblCellMar>
            <w:top w:w="0" w:type="dxa"/>
            <w:left w:w="108" w:type="dxa"/>
            <w:bottom w:w="0" w:type="dxa"/>
            <w:right w:w="108" w:type="dxa"/>
          </w:tblCellMar>
        </w:tblPrEx>
        <w:trPr>
          <w:trHeight w:val="64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西北非</w:t>
            </w:r>
          </w:p>
        </w:tc>
        <w:tc>
          <w:tcPr>
            <w:tcW w:w="8335"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kern w:val="0"/>
                <w:sz w:val="24"/>
                <w:lang w:eastAsia="zh-CN"/>
              </w:rPr>
            </w:pPr>
            <w:r>
              <w:rPr>
                <w:rFonts w:hint="eastAsia" w:ascii="宋体" w:hAnsi="宋体" w:cs="宋体"/>
                <w:kern w:val="0"/>
                <w:sz w:val="24"/>
              </w:rPr>
              <w:t>突尼斯，埃塞俄比亚，加纳，科特迪瓦，布基纳法索，阿尔及利亚，塞拉利昂，塞内加尔，多哥，埃及，喀麦隆，摩洛哥</w:t>
            </w:r>
            <w:r>
              <w:rPr>
                <w:rFonts w:hint="eastAsia" w:ascii="宋体" w:hAnsi="宋体" w:cs="宋体"/>
                <w:kern w:val="0"/>
                <w:sz w:val="24"/>
                <w:lang w:eastAsia="zh-CN"/>
              </w:rPr>
              <w:t>、马里、尼日尔、加蓬</w:t>
            </w:r>
          </w:p>
        </w:tc>
      </w:tr>
      <w:tr>
        <w:tblPrEx>
          <w:tblCellMar>
            <w:top w:w="0" w:type="dxa"/>
            <w:left w:w="108" w:type="dxa"/>
            <w:bottom w:w="0" w:type="dxa"/>
            <w:right w:w="108" w:type="dxa"/>
          </w:tblCellMar>
        </w:tblPrEx>
        <w:trPr>
          <w:trHeight w:val="1260"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东南非</w:t>
            </w:r>
          </w:p>
        </w:tc>
        <w:tc>
          <w:tcPr>
            <w:tcW w:w="8335"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kern w:val="0"/>
                <w:sz w:val="24"/>
                <w:lang w:eastAsia="zh-CN"/>
              </w:rPr>
            </w:pPr>
            <w:r>
              <w:rPr>
                <w:rFonts w:hint="eastAsia" w:ascii="宋体" w:hAnsi="宋体" w:cs="宋体"/>
                <w:kern w:val="0"/>
                <w:sz w:val="24"/>
              </w:rPr>
              <w:t>尼日利亚，坦桑尼亚，肯尼亚，乌干达，卢旺达，布隆迪，刚果民主共和国，刚果，安哥拉，赞比亚，马拉维，莫桑比克，津巴布韦，博茨瓦纳，南非，纳米比亚，马达加斯加，毛里求斯，科摩罗，苏丹，莱索托，斯威士兰，塞舌尔，南苏丹，索马里，吉布提，厄立特里亚，留尼旺</w:t>
            </w:r>
            <w:r>
              <w:rPr>
                <w:rFonts w:hint="eastAsia" w:ascii="宋体" w:hAnsi="宋体" w:cs="宋体"/>
                <w:kern w:val="0"/>
                <w:sz w:val="24"/>
                <w:lang w:eastAsia="zh-CN"/>
              </w:rPr>
              <w:t>、埃塞俄比亚</w:t>
            </w:r>
          </w:p>
        </w:tc>
      </w:tr>
      <w:tr>
        <w:tblPrEx>
          <w:tblCellMar>
            <w:top w:w="0" w:type="dxa"/>
            <w:left w:w="108" w:type="dxa"/>
            <w:bottom w:w="0" w:type="dxa"/>
            <w:right w:w="108" w:type="dxa"/>
          </w:tblCellMar>
        </w:tblPrEx>
        <w:trPr>
          <w:trHeight w:val="839"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独联体</w:t>
            </w:r>
          </w:p>
        </w:tc>
        <w:tc>
          <w:tcPr>
            <w:tcW w:w="8335"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阿塞拜疆、亚美尼亚、白俄罗斯、格鲁吉亚、吉尔吉斯斯坦、摩尔多瓦、哈萨克斯坦、俄罗斯、乌兹别克斯坦、乌克兰、塔吉克斯坦、土库曼斯坦，爱沙尼亚、拉脱维亚、立陶宛</w:t>
            </w:r>
          </w:p>
        </w:tc>
      </w:tr>
      <w:tr>
        <w:tblPrEx>
          <w:tblCellMar>
            <w:top w:w="0" w:type="dxa"/>
            <w:left w:w="108" w:type="dxa"/>
            <w:bottom w:w="0" w:type="dxa"/>
            <w:right w:w="108" w:type="dxa"/>
          </w:tblCellMar>
        </w:tblPrEx>
        <w:trPr>
          <w:trHeight w:val="1745"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欧洲</w:t>
            </w:r>
          </w:p>
        </w:tc>
        <w:tc>
          <w:tcPr>
            <w:tcW w:w="8335"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芬兰、瑞典、挪威、冰岛、丹麦 法罗群岛（丹）爱沙尼亚、拉脱维亚、立陶宛、白俄罗斯、俄罗斯、乌克兰、摩尔多瓦、波兰、捷克、斯洛伐克、匈牙利、德国、奥地利、瑞士、列支敦士登、英国、爱尔兰、荷兰、比利时、卢森堡、法国、摩纳哥、罗马尼亚、保加利亚、塞尔维亚、马其顿、阿尔巴尼亚、希腊、塞浦路斯、斯洛文尼亚、克罗地亚、波斯尼亚、墨塞哥维那、意大利、梵蒂冈、圣马力诺、马耳他、西班牙、葡萄牙、安道尔、新西兰</w:t>
            </w:r>
          </w:p>
        </w:tc>
      </w:tr>
      <w:tr>
        <w:tblPrEx>
          <w:tblCellMar>
            <w:top w:w="0" w:type="dxa"/>
            <w:left w:w="108" w:type="dxa"/>
            <w:bottom w:w="0" w:type="dxa"/>
            <w:right w:w="108" w:type="dxa"/>
          </w:tblCellMar>
        </w:tblPrEx>
        <w:trPr>
          <w:trHeight w:val="426" w:hRule="atLeast"/>
        </w:trPr>
        <w:tc>
          <w:tcPr>
            <w:tcW w:w="143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亚太</w:t>
            </w:r>
          </w:p>
        </w:tc>
        <w:tc>
          <w:tcPr>
            <w:tcW w:w="8335"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新加坡、马来西亚、台湾地区、香港地区、澳门地区、朝鲜、新喀里多利亚、斐济</w:t>
            </w:r>
          </w:p>
        </w:tc>
      </w:tr>
    </w:tbl>
    <w:p>
      <w:pPr>
        <w:keepNext w:val="0"/>
        <w:keepLines w:val="0"/>
        <w:pageBreakBefore w:val="0"/>
        <w:widowControl/>
        <w:kinsoku/>
        <w:wordWrap/>
        <w:overflowPunct/>
        <w:topLinePunct w:val="0"/>
        <w:bidi w:val="0"/>
        <w:adjustRightInd/>
        <w:snapToGrid/>
        <w:spacing w:line="360" w:lineRule="exact"/>
        <w:jc w:val="left"/>
      </w:pPr>
      <w:r>
        <w:rPr>
          <w:rFonts w:hint="eastAsia"/>
        </w:rPr>
        <w:t>要求：投标人须覆盖需投保国家清单中至少9</w:t>
      </w:r>
      <w:r>
        <w:rPr>
          <w:rFonts w:hint="eastAsia"/>
          <w:lang w:val="en-US" w:eastAsia="zh-CN"/>
        </w:rPr>
        <w:t>9</w:t>
      </w:r>
      <w:r>
        <w:rPr>
          <w:rFonts w:hint="eastAsia"/>
        </w:rPr>
        <w:t>%以上国家，否则视为不满足技术要求，为无效标。</w:t>
      </w:r>
    </w:p>
    <w:p>
      <w:pPr>
        <w:keepNext w:val="0"/>
        <w:keepLines w:val="0"/>
        <w:pageBreakBefore w:val="0"/>
        <w:widowControl/>
        <w:kinsoku/>
        <w:wordWrap/>
        <w:overflowPunct/>
        <w:topLinePunct w:val="0"/>
        <w:autoSpaceDE w:val="0"/>
        <w:autoSpaceDN w:val="0"/>
        <w:bidi w:val="0"/>
        <w:adjustRightInd/>
        <w:snapToGrid/>
        <w:spacing w:before="240" w:after="120" w:line="360" w:lineRule="exact"/>
        <w:jc w:val="left"/>
        <w:textAlignment w:val="bottom"/>
      </w:pPr>
      <w:r>
        <w:rPr>
          <w:rFonts w:hint="eastAsia"/>
        </w:rPr>
        <w:t>五、保险期限：自合同签订之日起一年。</w:t>
      </w:r>
    </w:p>
    <w:p>
      <w:pPr>
        <w:keepNext w:val="0"/>
        <w:keepLines w:val="0"/>
        <w:pageBreakBefore w:val="0"/>
        <w:widowControl/>
        <w:kinsoku/>
        <w:wordWrap/>
        <w:overflowPunct/>
        <w:topLinePunct w:val="0"/>
        <w:bidi w:val="0"/>
        <w:adjustRightInd/>
        <w:snapToGrid/>
        <w:spacing w:line="360" w:lineRule="exact"/>
        <w:jc w:val="left"/>
        <w:textAlignment w:val="top"/>
        <w:rPr>
          <w:rFonts w:ascii="宋体" w:hAnsi="宋体" w:cs="宋体"/>
          <w:color w:val="000000"/>
          <w:kern w:val="0"/>
          <w:szCs w:val="21"/>
        </w:rPr>
      </w:pPr>
      <w:r>
        <w:rPr>
          <w:rFonts w:hint="eastAsia" w:ascii="宋体" w:hAnsi="宋体" w:cs="宋体"/>
          <w:color w:val="000000"/>
          <w:kern w:val="0"/>
          <w:szCs w:val="21"/>
        </w:rPr>
        <w:t>六、</w:t>
      </w:r>
      <w:r>
        <w:rPr>
          <w:rFonts w:ascii="宋体" w:hAnsi="宋体" w:cs="宋体"/>
          <w:color w:val="000000"/>
          <w:kern w:val="0"/>
          <w:szCs w:val="21"/>
        </w:rPr>
        <w:t>以下资格证明文件应提交复印件加盖公章备审；</w:t>
      </w:r>
    </w:p>
    <w:p>
      <w:pPr>
        <w:keepNext w:val="0"/>
        <w:keepLines w:val="0"/>
        <w:pageBreakBefore w:val="0"/>
        <w:widowControl/>
        <w:kinsoku/>
        <w:wordWrap/>
        <w:overflowPunct/>
        <w:topLinePunct w:val="0"/>
        <w:bidi w:val="0"/>
        <w:adjustRightInd/>
        <w:snapToGrid/>
        <w:spacing w:line="360" w:lineRule="exact"/>
        <w:jc w:val="left"/>
        <w:textAlignment w:val="top"/>
        <w:rPr>
          <w:rFonts w:ascii="宋体" w:hAnsi="宋体" w:cs="宋体"/>
          <w:color w:val="000000"/>
          <w:kern w:val="0"/>
          <w:szCs w:val="21"/>
        </w:rPr>
      </w:pPr>
      <w:r>
        <w:rPr>
          <w:rFonts w:ascii="宋体" w:hAnsi="宋体" w:cs="宋体"/>
          <w:color w:val="000000"/>
          <w:kern w:val="0"/>
          <w:szCs w:val="21"/>
        </w:rPr>
        <w:t>（1）《经营保险业务许可证》</w:t>
      </w:r>
    </w:p>
    <w:p>
      <w:pPr>
        <w:keepNext w:val="0"/>
        <w:keepLines w:val="0"/>
        <w:pageBreakBefore w:val="0"/>
        <w:widowControl/>
        <w:kinsoku/>
        <w:wordWrap/>
        <w:overflowPunct/>
        <w:topLinePunct w:val="0"/>
        <w:bidi w:val="0"/>
        <w:adjustRightInd/>
        <w:snapToGrid/>
        <w:spacing w:line="360" w:lineRule="exact"/>
        <w:jc w:val="left"/>
        <w:textAlignment w:val="top"/>
        <w:rPr>
          <w:rFonts w:ascii="宋体" w:hAnsi="宋体" w:cs="宋体"/>
          <w:color w:val="000000"/>
          <w:kern w:val="0"/>
          <w:szCs w:val="21"/>
        </w:rPr>
      </w:pPr>
      <w:r>
        <w:rPr>
          <w:rFonts w:ascii="宋体" w:hAnsi="宋体" w:cs="宋体"/>
          <w:color w:val="000000"/>
          <w:kern w:val="0"/>
          <w:szCs w:val="21"/>
        </w:rPr>
        <w:t>（2）《营业执照》</w:t>
      </w:r>
    </w:p>
    <w:p>
      <w:pPr>
        <w:keepNext w:val="0"/>
        <w:keepLines w:val="0"/>
        <w:pageBreakBefore w:val="0"/>
        <w:widowControl/>
        <w:kinsoku/>
        <w:wordWrap/>
        <w:overflowPunct/>
        <w:topLinePunct w:val="0"/>
        <w:bidi w:val="0"/>
        <w:adjustRightInd/>
        <w:snapToGrid/>
        <w:spacing w:line="360" w:lineRule="exact"/>
        <w:jc w:val="left"/>
        <w:textAlignment w:val="top"/>
        <w:rPr>
          <w:rFonts w:ascii="宋体" w:hAnsi="宋体" w:cs="宋体"/>
          <w:color w:val="000000"/>
          <w:kern w:val="0"/>
          <w:szCs w:val="21"/>
        </w:rPr>
      </w:pPr>
      <w:r>
        <w:rPr>
          <w:rFonts w:ascii="宋体" w:hAnsi="宋体" w:cs="宋体"/>
          <w:color w:val="000000"/>
          <w:kern w:val="0"/>
          <w:szCs w:val="21"/>
        </w:rPr>
        <w:t>（3）《税务登记证》</w:t>
      </w:r>
    </w:p>
    <w:p>
      <w:pPr>
        <w:keepNext w:val="0"/>
        <w:keepLines w:val="0"/>
        <w:pageBreakBefore w:val="0"/>
        <w:widowControl/>
        <w:kinsoku/>
        <w:wordWrap/>
        <w:overflowPunct/>
        <w:topLinePunct w:val="0"/>
        <w:bidi w:val="0"/>
        <w:adjustRightInd/>
        <w:snapToGrid/>
        <w:spacing w:line="360" w:lineRule="exact"/>
        <w:jc w:val="left"/>
        <w:textAlignment w:val="top"/>
        <w:rPr>
          <w:rFonts w:ascii="宋体" w:hAnsi="宋体" w:cs="宋体"/>
          <w:color w:val="000000"/>
          <w:kern w:val="0"/>
          <w:szCs w:val="21"/>
        </w:rPr>
      </w:pPr>
      <w:r>
        <w:rPr>
          <w:rFonts w:ascii="宋体" w:hAnsi="宋体" w:cs="宋体"/>
          <w:color w:val="000000"/>
          <w:kern w:val="0"/>
          <w:szCs w:val="21"/>
        </w:rPr>
        <w:t>（4）《机构代码证》</w:t>
      </w:r>
    </w:p>
    <w:p>
      <w:pPr>
        <w:keepNext w:val="0"/>
        <w:keepLines w:val="0"/>
        <w:pageBreakBefore w:val="0"/>
        <w:widowControl/>
        <w:kinsoku/>
        <w:wordWrap/>
        <w:overflowPunct/>
        <w:topLinePunct w:val="0"/>
        <w:bidi w:val="0"/>
        <w:adjustRightInd/>
        <w:snapToGrid/>
        <w:spacing w:line="360" w:lineRule="exact"/>
        <w:jc w:val="left"/>
        <w:textAlignment w:val="top"/>
        <w:rPr>
          <w:rFonts w:ascii="宋体" w:hAnsi="宋体" w:cs="宋体"/>
          <w:color w:val="000000"/>
          <w:kern w:val="0"/>
          <w:szCs w:val="21"/>
        </w:rPr>
      </w:pPr>
      <w:r>
        <w:rPr>
          <w:rFonts w:ascii="宋体" w:hAnsi="宋体" w:cs="宋体"/>
          <w:color w:val="000000"/>
          <w:kern w:val="0"/>
          <w:szCs w:val="21"/>
        </w:rPr>
        <w:t>（5）《理赔权限再转授权书》</w:t>
      </w:r>
    </w:p>
    <w:p>
      <w:pPr>
        <w:keepNext w:val="0"/>
        <w:keepLines w:val="0"/>
        <w:pageBreakBefore w:val="0"/>
        <w:widowControl/>
        <w:kinsoku/>
        <w:wordWrap/>
        <w:overflowPunct/>
        <w:topLinePunct w:val="0"/>
        <w:bidi w:val="0"/>
        <w:adjustRightInd/>
        <w:snapToGrid/>
        <w:spacing w:line="360" w:lineRule="exact"/>
        <w:jc w:val="left"/>
        <w:textAlignment w:val="top"/>
        <w:rPr>
          <w:rFonts w:ascii="宋体" w:hAnsi="宋体" w:cs="宋体"/>
          <w:color w:val="000000"/>
          <w:kern w:val="0"/>
          <w:szCs w:val="21"/>
        </w:rPr>
      </w:pPr>
      <w:r>
        <w:rPr>
          <w:rFonts w:ascii="宋体" w:hAnsi="宋体" w:cs="宋体"/>
          <w:color w:val="000000"/>
          <w:kern w:val="0"/>
          <w:szCs w:val="21"/>
        </w:rPr>
        <w:t>（6）参与本次投标的从业人员资格证书（含：保险业务从业资格证、展业证）</w:t>
      </w:r>
    </w:p>
    <w:p>
      <w:pPr>
        <w:keepNext w:val="0"/>
        <w:keepLines w:val="0"/>
        <w:pageBreakBefore w:val="0"/>
        <w:widowControl/>
        <w:kinsoku/>
        <w:wordWrap/>
        <w:overflowPunct/>
        <w:topLinePunct w:val="0"/>
        <w:bidi w:val="0"/>
        <w:adjustRightInd/>
        <w:snapToGrid/>
        <w:spacing w:line="360" w:lineRule="exact"/>
        <w:jc w:val="left"/>
        <w:textAlignment w:val="top"/>
        <w:rPr>
          <w:rFonts w:hint="eastAsia" w:ascii="宋体" w:hAnsi="宋体" w:cs="宋体"/>
          <w:color w:val="000000"/>
          <w:kern w:val="0"/>
          <w:szCs w:val="21"/>
          <w:lang w:val="en-US" w:eastAsia="zh-CN"/>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7</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2024年度保费收入证明</w:t>
      </w:r>
    </w:p>
    <w:p>
      <w:pPr>
        <w:keepNext w:val="0"/>
        <w:keepLines w:val="0"/>
        <w:pageBreakBefore w:val="0"/>
        <w:widowControl/>
        <w:kinsoku/>
        <w:wordWrap/>
        <w:overflowPunct/>
        <w:topLinePunct w:val="0"/>
        <w:bidi w:val="0"/>
        <w:adjustRightInd/>
        <w:snapToGrid/>
        <w:spacing w:line="360" w:lineRule="exact"/>
        <w:jc w:val="left"/>
        <w:textAlignment w:val="top"/>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（8）2025年第一季度综合偿付能力证明</w:t>
      </w:r>
    </w:p>
    <w:p>
      <w:pPr>
        <w:rPr>
          <w:szCs w:val="28"/>
        </w:rPr>
      </w:pPr>
      <w:r>
        <w:rPr>
          <w:szCs w:val="28"/>
        </w:rPr>
        <w:br w:type="page"/>
      </w:r>
    </w:p>
    <w:p>
      <w:pPr>
        <w:rPr>
          <w:szCs w:val="28"/>
        </w:rPr>
      </w:pPr>
      <w:r>
        <w:rPr>
          <w:rFonts w:hint="eastAsia"/>
          <w:szCs w:val="28"/>
        </w:rPr>
        <w:t>附表：</w:t>
      </w:r>
    </w:p>
    <w:tbl>
      <w:tblPr>
        <w:tblStyle w:val="2"/>
        <w:tblW w:w="10514" w:type="dxa"/>
        <w:tblInd w:w="-575" w:type="dxa"/>
        <w:tblLayout w:type="fixed"/>
        <w:tblCellMar>
          <w:top w:w="0" w:type="dxa"/>
          <w:left w:w="108" w:type="dxa"/>
          <w:bottom w:w="0" w:type="dxa"/>
          <w:right w:w="108" w:type="dxa"/>
        </w:tblCellMar>
      </w:tblPr>
      <w:tblGrid>
        <w:gridCol w:w="1840"/>
        <w:gridCol w:w="5789"/>
        <w:gridCol w:w="1843"/>
        <w:gridCol w:w="1042"/>
      </w:tblGrid>
      <w:tr>
        <w:tblPrEx>
          <w:tblCellMar>
            <w:top w:w="0" w:type="dxa"/>
            <w:left w:w="108" w:type="dxa"/>
            <w:bottom w:w="0" w:type="dxa"/>
            <w:right w:w="108" w:type="dxa"/>
          </w:tblCellMar>
        </w:tblPrEx>
        <w:trPr>
          <w:trHeight w:val="288" w:hRule="atLeast"/>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地区分类</w:t>
            </w:r>
          </w:p>
        </w:tc>
        <w:tc>
          <w:tcPr>
            <w:tcW w:w="578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需投保国家清单</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不能承保国家名称</w:t>
            </w:r>
          </w:p>
        </w:tc>
        <w:tc>
          <w:tcPr>
            <w:tcW w:w="104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1153"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中东南亚</w:t>
            </w:r>
          </w:p>
        </w:tc>
        <w:tc>
          <w:tcPr>
            <w:tcW w:w="578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沙特阿拉伯、阿联酋、卡塔尔、科威特、巴林、阿曼、也门、约旦、黎巴嫩、巴勒斯坦、叙利亚、伊拉克、伊朗、巴基斯坦、印度、斯里兰卡、马尔代夫、尼泊尔、孟加拉国</w:t>
            </w:r>
          </w:p>
        </w:tc>
        <w:tc>
          <w:tcPr>
            <w:tcW w:w="1843"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4"/>
              </w:rPr>
            </w:pPr>
          </w:p>
        </w:tc>
        <w:tc>
          <w:tcPr>
            <w:tcW w:w="104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576"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东南亚</w:t>
            </w:r>
          </w:p>
        </w:tc>
        <w:tc>
          <w:tcPr>
            <w:tcW w:w="578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菲律宾、印尼、越南、泰国、老挝、柬埔寨、缅甸、韩国、蒙古</w:t>
            </w:r>
          </w:p>
        </w:tc>
        <w:tc>
          <w:tcPr>
            <w:tcW w:w="1843"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4"/>
              </w:rPr>
            </w:pPr>
          </w:p>
        </w:tc>
        <w:tc>
          <w:tcPr>
            <w:tcW w:w="104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2018"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美洲</w:t>
            </w:r>
          </w:p>
        </w:tc>
        <w:tc>
          <w:tcPr>
            <w:tcW w:w="578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墨西哥、巴拿马、危地马拉、萨尔瓦、牙买加、多米尼加、哥斯达黎加、特立尼达、多巴哥、阿根廷、尼加拉瓜、巴西、哥伦比亚、智利、秘鲁、厄瓜多尔、委内瑞拉、乌拉圭、巴拉圭、玻利维亚、苏里南 圭亚那、百慕大、巴巴多斯、海地库拉索、古巴、洪都拉斯、美国、加拿大 波多黎各、圣卢西亚、巴哈马、多米尼克</w:t>
            </w:r>
          </w:p>
        </w:tc>
        <w:tc>
          <w:tcPr>
            <w:tcW w:w="1843"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4"/>
              </w:rPr>
            </w:pPr>
          </w:p>
        </w:tc>
        <w:tc>
          <w:tcPr>
            <w:tcW w:w="104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865"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西北非</w:t>
            </w:r>
          </w:p>
        </w:tc>
        <w:tc>
          <w:tcPr>
            <w:tcW w:w="5789"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kern w:val="0"/>
                <w:sz w:val="24"/>
                <w:lang w:eastAsia="zh-CN"/>
              </w:rPr>
            </w:pPr>
            <w:r>
              <w:rPr>
                <w:rFonts w:hint="eastAsia" w:ascii="宋体" w:hAnsi="宋体" w:cs="宋体"/>
                <w:kern w:val="0"/>
                <w:sz w:val="24"/>
              </w:rPr>
              <w:t>突尼斯，埃塞俄比亚，加纳，科特迪瓦，布基纳法索，阿尔及利亚，塞拉利昂，塞内加尔，多哥，埃及，喀麦隆，摩洛哥</w:t>
            </w:r>
            <w:r>
              <w:rPr>
                <w:rFonts w:hint="eastAsia" w:ascii="宋体" w:hAnsi="宋体" w:cs="宋体"/>
                <w:kern w:val="0"/>
                <w:sz w:val="24"/>
                <w:lang w:eastAsia="zh-CN"/>
              </w:rPr>
              <w:t>、马里、尼日尔、加蓬</w:t>
            </w:r>
          </w:p>
        </w:tc>
        <w:tc>
          <w:tcPr>
            <w:tcW w:w="1843"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4"/>
              </w:rPr>
            </w:pPr>
          </w:p>
        </w:tc>
        <w:tc>
          <w:tcPr>
            <w:tcW w:w="104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1729"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东南非</w:t>
            </w:r>
          </w:p>
        </w:tc>
        <w:tc>
          <w:tcPr>
            <w:tcW w:w="5789"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kern w:val="0"/>
                <w:sz w:val="24"/>
                <w:lang w:eastAsia="zh-CN"/>
              </w:rPr>
            </w:pPr>
            <w:r>
              <w:rPr>
                <w:rFonts w:hint="eastAsia" w:ascii="宋体" w:hAnsi="宋体" w:cs="宋体"/>
                <w:kern w:val="0"/>
                <w:sz w:val="24"/>
              </w:rPr>
              <w:t>尼日利亚，坦桑尼亚，肯尼亚，乌干达，卢旺达，布隆迪，刚果民主共和国，刚果，安哥拉，赞比亚，马拉维，莫桑比克，津巴布韦，博茨瓦纳，南非，纳米比亚，马达加斯加，毛里求斯，科摩罗，苏丹，莱索托，斯威士兰，塞舌尔，南苏丹，索马里，吉布提，厄立特里亚，留尼旺</w:t>
            </w:r>
            <w:r>
              <w:rPr>
                <w:rFonts w:hint="eastAsia" w:ascii="宋体" w:hAnsi="宋体" w:cs="宋体"/>
                <w:kern w:val="0"/>
                <w:sz w:val="24"/>
                <w:lang w:eastAsia="zh-CN"/>
              </w:rPr>
              <w:t>、埃塞俄比亚</w:t>
            </w:r>
          </w:p>
        </w:tc>
        <w:tc>
          <w:tcPr>
            <w:tcW w:w="1843"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4"/>
              </w:rPr>
            </w:pPr>
          </w:p>
        </w:tc>
        <w:tc>
          <w:tcPr>
            <w:tcW w:w="104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1153"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独联体</w:t>
            </w:r>
          </w:p>
        </w:tc>
        <w:tc>
          <w:tcPr>
            <w:tcW w:w="578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阿塞拜疆、亚美尼亚、白俄罗斯、格鲁吉亚、吉尔吉斯斯坦、摩尔多瓦、哈萨克斯坦、俄罗斯、乌兹别克斯坦、乌克兰、塔吉克斯坦、土库曼斯坦，爱沙尼亚、拉脱维亚、立陶宛</w:t>
            </w:r>
          </w:p>
        </w:tc>
        <w:tc>
          <w:tcPr>
            <w:tcW w:w="1843"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4"/>
              </w:rPr>
            </w:pPr>
          </w:p>
        </w:tc>
        <w:tc>
          <w:tcPr>
            <w:tcW w:w="104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2594"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欧洲</w:t>
            </w:r>
          </w:p>
        </w:tc>
        <w:tc>
          <w:tcPr>
            <w:tcW w:w="578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芬兰、瑞典、挪威、冰岛、丹麦 法罗群岛（丹）爱沙尼亚、拉脱维亚、立陶宛、白俄罗斯、俄罗斯、乌克兰、摩尔多瓦、波兰、捷克、斯洛伐克、匈牙利、德国、奥地利、瑞士、列支敦士登、英国、爱尔兰、荷兰、比利时、卢森堡、法国、摩纳哥、罗马尼亚、保加利亚、塞尔维亚、马其顿、阿尔巴尼亚、希腊、塞浦路斯、斯洛文尼亚、克罗地亚、波斯尼亚、墨塞哥维那 、意大利、梵蒂冈、圣马力诺、马耳他、西班牙、葡萄牙、安道尔、新西兰</w:t>
            </w:r>
          </w:p>
        </w:tc>
        <w:tc>
          <w:tcPr>
            <w:tcW w:w="1843"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4"/>
              </w:rPr>
            </w:pPr>
          </w:p>
        </w:tc>
        <w:tc>
          <w:tcPr>
            <w:tcW w:w="104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576" w:hRule="atLeast"/>
        </w:trPr>
        <w:tc>
          <w:tcPr>
            <w:tcW w:w="184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b/>
                <w:bCs/>
                <w:kern w:val="0"/>
                <w:sz w:val="24"/>
              </w:rPr>
            </w:pPr>
            <w:r>
              <w:rPr>
                <w:rFonts w:hint="eastAsia" w:ascii="宋体" w:hAnsi="宋体" w:cs="宋体"/>
                <w:b/>
                <w:bCs/>
                <w:kern w:val="0"/>
                <w:sz w:val="24"/>
              </w:rPr>
              <w:t>亚太</w:t>
            </w:r>
          </w:p>
        </w:tc>
        <w:tc>
          <w:tcPr>
            <w:tcW w:w="578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 xml:space="preserve">新加坡、马来西亚、台湾地区、香港地区、澳门地区、朝鲜、新喀里多利亚、斐济 </w:t>
            </w:r>
          </w:p>
        </w:tc>
        <w:tc>
          <w:tcPr>
            <w:tcW w:w="1843"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4"/>
              </w:rPr>
            </w:pPr>
          </w:p>
        </w:tc>
        <w:tc>
          <w:tcPr>
            <w:tcW w:w="104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kern w:val="0"/>
                <w:sz w:val="24"/>
              </w:rPr>
            </w:pPr>
          </w:p>
        </w:tc>
      </w:tr>
    </w:tbl>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r>
        <w:rPr>
          <w:rFonts w:hint="eastAsia" w:ascii="宋体" w:hAnsi="宋体"/>
          <w:b/>
          <w:bCs/>
          <w:sz w:val="44"/>
          <w:szCs w:val="44"/>
        </w:rPr>
        <w:t>报价函</w:t>
      </w:r>
    </w:p>
    <w:p>
      <w:pPr>
        <w:adjustRightInd w:val="0"/>
        <w:snapToGrid w:val="0"/>
        <w:spacing w:line="360" w:lineRule="auto"/>
        <w:rPr>
          <w:sz w:val="24"/>
          <w:u w:val="single"/>
        </w:rPr>
      </w:pPr>
      <w:r>
        <w:rPr>
          <w:rFonts w:hint="eastAsia"/>
          <w:sz w:val="24"/>
        </w:rPr>
        <w:t>项目名称：</w:t>
      </w:r>
      <w:r>
        <w:rPr>
          <w:rFonts w:hint="eastAsia"/>
          <w:sz w:val="24"/>
          <w:u w:val="single"/>
        </w:rPr>
        <w:t>出国境外险</w:t>
      </w:r>
    </w:p>
    <w:p>
      <w:pPr>
        <w:spacing w:line="440" w:lineRule="exact"/>
        <w:rPr>
          <w:rFonts w:ascii="宋体" w:hAnsi="宋体"/>
          <w:szCs w:val="28"/>
        </w:rPr>
      </w:pPr>
      <w:r>
        <w:rPr>
          <w:rFonts w:hint="eastAsia" w:ascii="宋体" w:hAnsi="宋体"/>
          <w:szCs w:val="28"/>
        </w:rPr>
        <w:t>投标人名称：＿＿＿＿＿＿＿＿＿＿＿＿＿＿（公司公章）</w:t>
      </w:r>
    </w:p>
    <w:p>
      <w:pPr>
        <w:spacing w:line="440" w:lineRule="exact"/>
        <w:ind w:right="420"/>
        <w:jc w:val="right"/>
        <w:rPr>
          <w:rFonts w:ascii="宋体" w:hAnsi="宋体" w:cs="宋体"/>
          <w:b/>
          <w:bCs/>
          <w:kern w:val="0"/>
          <w:szCs w:val="21"/>
        </w:rPr>
      </w:pPr>
      <w:r>
        <w:rPr>
          <w:rFonts w:hint="eastAsia" w:ascii="宋体" w:hAnsi="宋体" w:cs="宋体"/>
          <w:b/>
          <w:bCs/>
          <w:kern w:val="0"/>
          <w:szCs w:val="21"/>
        </w:rPr>
        <w:t>单位:人民币元，含税</w:t>
      </w:r>
    </w:p>
    <w:tbl>
      <w:tblPr>
        <w:tblStyle w:val="2"/>
        <w:tblW w:w="8861" w:type="dxa"/>
        <w:tblInd w:w="93" w:type="dxa"/>
        <w:tblLayout w:type="fixed"/>
        <w:tblCellMar>
          <w:top w:w="0" w:type="dxa"/>
          <w:left w:w="108" w:type="dxa"/>
          <w:bottom w:w="0" w:type="dxa"/>
          <w:right w:w="108" w:type="dxa"/>
        </w:tblCellMar>
      </w:tblPr>
      <w:tblGrid>
        <w:gridCol w:w="2953"/>
        <w:gridCol w:w="2607"/>
        <w:gridCol w:w="3301"/>
      </w:tblGrid>
      <w:tr>
        <w:tblPrEx>
          <w:tblCellMar>
            <w:top w:w="0" w:type="dxa"/>
            <w:left w:w="108" w:type="dxa"/>
            <w:bottom w:w="0" w:type="dxa"/>
            <w:right w:w="108" w:type="dxa"/>
          </w:tblCellMar>
        </w:tblPrEx>
        <w:trPr>
          <w:trHeight w:val="242" w:hRule="atLeast"/>
        </w:trPr>
        <w:tc>
          <w:tcPr>
            <w:tcW w:w="2953"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保险期间</w:t>
            </w:r>
          </w:p>
        </w:tc>
        <w:tc>
          <w:tcPr>
            <w:tcW w:w="5908" w:type="dxa"/>
            <w:gridSpan w:val="2"/>
            <w:tcBorders>
              <w:top w:val="single" w:color="auto" w:sz="8" w:space="0"/>
              <w:left w:val="nil"/>
              <w:bottom w:val="single" w:color="auto" w:sz="8" w:space="0"/>
              <w:right w:val="single" w:color="000000" w:sz="8" w:space="0"/>
            </w:tcBorders>
            <w:shd w:val="clear" w:color="auto" w:fill="auto"/>
            <w:noWrap/>
            <w:vAlign w:val="center"/>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保费金额</w:t>
            </w:r>
          </w:p>
        </w:tc>
      </w:tr>
      <w:tr>
        <w:tblPrEx>
          <w:tblCellMar>
            <w:top w:w="0" w:type="dxa"/>
            <w:left w:w="108" w:type="dxa"/>
            <w:bottom w:w="0" w:type="dxa"/>
            <w:right w:w="108" w:type="dxa"/>
          </w:tblCellMar>
        </w:tblPrEx>
        <w:trPr>
          <w:trHeight w:val="254" w:hRule="atLeast"/>
        </w:trPr>
        <w:tc>
          <w:tcPr>
            <w:tcW w:w="2953" w:type="dxa"/>
            <w:vMerge w:val="continue"/>
            <w:tcBorders>
              <w:top w:val="single" w:color="auto" w:sz="8" w:space="0"/>
              <w:left w:val="single" w:color="auto" w:sz="8" w:space="0"/>
              <w:bottom w:val="single" w:color="000000" w:sz="8" w:space="0"/>
              <w:right w:val="single" w:color="auto" w:sz="8" w:space="0"/>
            </w:tcBorders>
            <w:vAlign w:val="center"/>
          </w:tcPr>
          <w:p>
            <w:pPr>
              <w:jc w:val="center"/>
              <w:rPr>
                <w:rFonts w:ascii="宋体" w:hAnsi="宋体" w:cs="宋体"/>
                <w:b/>
                <w:bCs/>
                <w:color w:val="000000"/>
                <w:kern w:val="0"/>
                <w:sz w:val="20"/>
                <w:szCs w:val="20"/>
              </w:rPr>
            </w:pPr>
          </w:p>
        </w:tc>
        <w:tc>
          <w:tcPr>
            <w:tcW w:w="2607" w:type="dxa"/>
            <w:tcBorders>
              <w:top w:val="nil"/>
              <w:left w:val="nil"/>
              <w:bottom w:val="single" w:color="auto" w:sz="8" w:space="0"/>
              <w:right w:val="single" w:color="auto" w:sz="8" w:space="0"/>
            </w:tcBorders>
            <w:shd w:val="clear" w:color="auto" w:fill="auto"/>
            <w:noWrap/>
            <w:vAlign w:val="center"/>
          </w:tcPr>
          <w:p>
            <w:pPr>
              <w:jc w:val="center"/>
              <w:rPr>
                <w:b/>
                <w:bCs/>
                <w:color w:val="000000"/>
                <w:kern w:val="0"/>
                <w:sz w:val="20"/>
                <w:szCs w:val="20"/>
              </w:rPr>
            </w:pPr>
            <w:r>
              <w:rPr>
                <w:b/>
                <w:bCs/>
                <w:color w:val="000000"/>
                <w:kern w:val="0"/>
                <w:sz w:val="20"/>
                <w:szCs w:val="20"/>
              </w:rPr>
              <w:t>B</w:t>
            </w:r>
            <w:r>
              <w:rPr>
                <w:rFonts w:hint="eastAsia" w:ascii="宋体" w:hAnsi="宋体"/>
                <w:b/>
                <w:bCs/>
                <w:color w:val="000000"/>
                <w:kern w:val="0"/>
                <w:sz w:val="20"/>
                <w:szCs w:val="20"/>
              </w:rPr>
              <w:t>类</w:t>
            </w:r>
          </w:p>
        </w:tc>
        <w:tc>
          <w:tcPr>
            <w:tcW w:w="3301" w:type="dxa"/>
            <w:tcBorders>
              <w:top w:val="nil"/>
              <w:left w:val="nil"/>
              <w:bottom w:val="single" w:color="auto" w:sz="8" w:space="0"/>
              <w:right w:val="single" w:color="auto" w:sz="8" w:space="0"/>
            </w:tcBorders>
            <w:shd w:val="clear" w:color="auto" w:fill="auto"/>
            <w:noWrap/>
            <w:vAlign w:val="center"/>
          </w:tcPr>
          <w:p>
            <w:pPr>
              <w:jc w:val="center"/>
              <w:rPr>
                <w:b/>
                <w:bCs/>
                <w:color w:val="000000"/>
                <w:kern w:val="0"/>
                <w:sz w:val="20"/>
                <w:szCs w:val="20"/>
              </w:rPr>
            </w:pPr>
            <w:r>
              <w:rPr>
                <w:b/>
                <w:bCs/>
                <w:color w:val="000000"/>
                <w:kern w:val="0"/>
                <w:sz w:val="20"/>
                <w:szCs w:val="20"/>
              </w:rPr>
              <w:t>C</w:t>
            </w:r>
            <w:r>
              <w:rPr>
                <w:rFonts w:hint="eastAsia" w:ascii="宋体" w:hAnsi="宋体"/>
                <w:b/>
                <w:bCs/>
                <w:color w:val="000000"/>
                <w:kern w:val="0"/>
                <w:sz w:val="20"/>
                <w:szCs w:val="20"/>
              </w:rPr>
              <w:t>类</w:t>
            </w: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b/>
                <w:bCs/>
                <w:color w:val="000000"/>
                <w:kern w:val="0"/>
                <w:sz w:val="20"/>
                <w:szCs w:val="20"/>
              </w:rPr>
            </w:pPr>
            <w:r>
              <w:rPr>
                <w:b/>
                <w:bCs/>
                <w:color w:val="000000"/>
                <w:kern w:val="0"/>
                <w:sz w:val="20"/>
                <w:szCs w:val="20"/>
              </w:rPr>
              <w:t>1-7</w:t>
            </w:r>
            <w:r>
              <w:rPr>
                <w:rFonts w:hint="eastAsia" w:ascii="宋体" w:hAnsi="宋体"/>
                <w:b/>
                <w:bCs/>
                <w:color w:val="000000"/>
                <w:kern w:val="0"/>
                <w:sz w:val="20"/>
                <w:szCs w:val="20"/>
              </w:rPr>
              <w:t>天</w:t>
            </w:r>
          </w:p>
        </w:tc>
        <w:tc>
          <w:tcPr>
            <w:tcW w:w="2607"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b/>
                <w:bCs/>
                <w:color w:val="000000"/>
                <w:kern w:val="0"/>
                <w:sz w:val="20"/>
                <w:szCs w:val="20"/>
              </w:rPr>
            </w:pPr>
            <w:r>
              <w:rPr>
                <w:b/>
                <w:bCs/>
                <w:color w:val="000000"/>
                <w:kern w:val="0"/>
                <w:sz w:val="20"/>
                <w:szCs w:val="20"/>
              </w:rPr>
              <w:t>1-10</w:t>
            </w:r>
            <w:r>
              <w:rPr>
                <w:rFonts w:hint="eastAsia" w:ascii="宋体" w:hAnsi="宋体"/>
                <w:b/>
                <w:bCs/>
                <w:color w:val="000000"/>
                <w:kern w:val="0"/>
                <w:sz w:val="20"/>
                <w:szCs w:val="20"/>
              </w:rPr>
              <w:t>天</w:t>
            </w:r>
          </w:p>
        </w:tc>
        <w:tc>
          <w:tcPr>
            <w:tcW w:w="2607"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b/>
                <w:bCs/>
                <w:color w:val="000000"/>
                <w:kern w:val="0"/>
                <w:sz w:val="20"/>
                <w:szCs w:val="20"/>
              </w:rPr>
            </w:pPr>
            <w:r>
              <w:rPr>
                <w:b/>
                <w:bCs/>
                <w:color w:val="000000"/>
                <w:kern w:val="0"/>
                <w:sz w:val="20"/>
                <w:szCs w:val="20"/>
              </w:rPr>
              <w:t>1-15</w:t>
            </w:r>
            <w:r>
              <w:rPr>
                <w:rFonts w:hint="eastAsia" w:ascii="宋体" w:hAnsi="宋体"/>
                <w:b/>
                <w:bCs/>
                <w:color w:val="000000"/>
                <w:kern w:val="0"/>
                <w:sz w:val="20"/>
                <w:szCs w:val="20"/>
              </w:rPr>
              <w:t>天</w:t>
            </w:r>
          </w:p>
        </w:tc>
        <w:tc>
          <w:tcPr>
            <w:tcW w:w="2607"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b/>
                <w:bCs/>
                <w:color w:val="000000"/>
                <w:kern w:val="0"/>
                <w:sz w:val="20"/>
                <w:szCs w:val="20"/>
              </w:rPr>
            </w:pPr>
            <w:r>
              <w:rPr>
                <w:b/>
                <w:bCs/>
                <w:color w:val="000000"/>
                <w:kern w:val="0"/>
                <w:sz w:val="20"/>
                <w:szCs w:val="20"/>
              </w:rPr>
              <w:t>1-20</w:t>
            </w:r>
            <w:r>
              <w:rPr>
                <w:rFonts w:hint="eastAsia" w:ascii="宋体" w:hAnsi="宋体"/>
                <w:b/>
                <w:bCs/>
                <w:color w:val="000000"/>
                <w:kern w:val="0"/>
                <w:sz w:val="20"/>
                <w:szCs w:val="20"/>
              </w:rPr>
              <w:t>天</w:t>
            </w:r>
          </w:p>
        </w:tc>
        <w:tc>
          <w:tcPr>
            <w:tcW w:w="2607" w:type="dxa"/>
            <w:tcBorders>
              <w:top w:val="nil"/>
              <w:left w:val="nil"/>
              <w:bottom w:val="single" w:color="auto" w:sz="8" w:space="0"/>
              <w:right w:val="single" w:color="auto" w:sz="8" w:space="0"/>
            </w:tcBorders>
            <w:shd w:val="clear" w:color="auto" w:fill="auto"/>
            <w:noWrap/>
            <w:vAlign w:val="bottom"/>
          </w:tcPr>
          <w:p>
            <w:pPr>
              <w:jc w:val="both"/>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b/>
                <w:bCs/>
                <w:color w:val="000000"/>
                <w:kern w:val="0"/>
                <w:sz w:val="20"/>
                <w:szCs w:val="20"/>
              </w:rPr>
            </w:pPr>
            <w:r>
              <w:rPr>
                <w:b/>
                <w:bCs/>
                <w:color w:val="000000"/>
                <w:kern w:val="0"/>
                <w:sz w:val="20"/>
                <w:szCs w:val="20"/>
              </w:rPr>
              <w:t>1-25</w:t>
            </w:r>
            <w:r>
              <w:rPr>
                <w:rFonts w:hint="eastAsia" w:ascii="宋体" w:hAnsi="宋体"/>
                <w:b/>
                <w:bCs/>
                <w:color w:val="000000"/>
                <w:kern w:val="0"/>
                <w:sz w:val="20"/>
                <w:szCs w:val="20"/>
              </w:rPr>
              <w:t>天</w:t>
            </w:r>
          </w:p>
        </w:tc>
        <w:tc>
          <w:tcPr>
            <w:tcW w:w="2607"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b/>
                <w:bCs/>
                <w:color w:val="000000"/>
                <w:kern w:val="0"/>
                <w:sz w:val="20"/>
                <w:szCs w:val="20"/>
              </w:rPr>
            </w:pPr>
            <w:r>
              <w:rPr>
                <w:b/>
                <w:bCs/>
                <w:color w:val="000000"/>
                <w:kern w:val="0"/>
                <w:sz w:val="20"/>
                <w:szCs w:val="20"/>
              </w:rPr>
              <w:t>1-30</w:t>
            </w:r>
            <w:r>
              <w:rPr>
                <w:rFonts w:hint="eastAsia" w:ascii="宋体" w:hAnsi="宋体"/>
                <w:b/>
                <w:bCs/>
                <w:color w:val="000000"/>
                <w:kern w:val="0"/>
                <w:sz w:val="20"/>
                <w:szCs w:val="20"/>
              </w:rPr>
              <w:t>天</w:t>
            </w:r>
          </w:p>
        </w:tc>
        <w:tc>
          <w:tcPr>
            <w:tcW w:w="2607"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b/>
                <w:bCs/>
                <w:color w:val="000000"/>
                <w:kern w:val="0"/>
                <w:sz w:val="20"/>
                <w:szCs w:val="20"/>
              </w:rPr>
            </w:pPr>
            <w:r>
              <w:rPr>
                <w:b/>
                <w:bCs/>
                <w:color w:val="000000"/>
                <w:kern w:val="0"/>
                <w:sz w:val="20"/>
                <w:szCs w:val="20"/>
              </w:rPr>
              <w:t>1-45</w:t>
            </w:r>
            <w:r>
              <w:rPr>
                <w:rFonts w:hint="eastAsia" w:ascii="宋体" w:hAnsi="宋体"/>
                <w:b/>
                <w:bCs/>
                <w:color w:val="000000"/>
                <w:kern w:val="0"/>
                <w:sz w:val="20"/>
                <w:szCs w:val="20"/>
              </w:rPr>
              <w:t>天</w:t>
            </w:r>
          </w:p>
        </w:tc>
        <w:tc>
          <w:tcPr>
            <w:tcW w:w="2607"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b/>
                <w:bCs/>
                <w:color w:val="000000"/>
                <w:kern w:val="0"/>
                <w:sz w:val="20"/>
                <w:szCs w:val="20"/>
              </w:rPr>
            </w:pPr>
            <w:r>
              <w:rPr>
                <w:b/>
                <w:bCs/>
                <w:color w:val="000000"/>
                <w:kern w:val="0"/>
                <w:sz w:val="20"/>
                <w:szCs w:val="20"/>
              </w:rPr>
              <w:t>1-60</w:t>
            </w:r>
            <w:r>
              <w:rPr>
                <w:rFonts w:hint="eastAsia" w:ascii="宋体" w:hAnsi="宋体"/>
                <w:b/>
                <w:bCs/>
                <w:color w:val="000000"/>
                <w:kern w:val="0"/>
                <w:sz w:val="20"/>
                <w:szCs w:val="20"/>
              </w:rPr>
              <w:t>天</w:t>
            </w:r>
          </w:p>
        </w:tc>
        <w:tc>
          <w:tcPr>
            <w:tcW w:w="2607"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b/>
                <w:bCs/>
                <w:color w:val="000000"/>
                <w:kern w:val="0"/>
                <w:sz w:val="20"/>
                <w:szCs w:val="20"/>
              </w:rPr>
            </w:pPr>
            <w:r>
              <w:rPr>
                <w:b/>
                <w:bCs/>
                <w:color w:val="000000"/>
                <w:kern w:val="0"/>
                <w:sz w:val="20"/>
                <w:szCs w:val="20"/>
              </w:rPr>
              <w:t>1-75</w:t>
            </w:r>
            <w:r>
              <w:rPr>
                <w:rFonts w:hint="eastAsia" w:ascii="宋体" w:hAnsi="宋体"/>
                <w:b/>
                <w:bCs/>
                <w:color w:val="000000"/>
                <w:kern w:val="0"/>
                <w:sz w:val="20"/>
                <w:szCs w:val="20"/>
              </w:rPr>
              <w:t>天</w:t>
            </w:r>
          </w:p>
        </w:tc>
        <w:tc>
          <w:tcPr>
            <w:tcW w:w="2607"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b/>
                <w:bCs/>
                <w:color w:val="000000"/>
                <w:kern w:val="0"/>
                <w:sz w:val="20"/>
                <w:szCs w:val="20"/>
              </w:rPr>
            </w:pPr>
            <w:r>
              <w:rPr>
                <w:b/>
                <w:bCs/>
                <w:color w:val="000000"/>
                <w:kern w:val="0"/>
                <w:sz w:val="20"/>
                <w:szCs w:val="20"/>
              </w:rPr>
              <w:t>1-90</w:t>
            </w:r>
            <w:r>
              <w:rPr>
                <w:rFonts w:hint="eastAsia" w:ascii="宋体" w:hAnsi="宋体"/>
                <w:b/>
                <w:bCs/>
                <w:color w:val="000000"/>
                <w:kern w:val="0"/>
                <w:sz w:val="20"/>
                <w:szCs w:val="20"/>
              </w:rPr>
              <w:t>天</w:t>
            </w:r>
          </w:p>
        </w:tc>
        <w:tc>
          <w:tcPr>
            <w:tcW w:w="2607"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b/>
                <w:bCs/>
                <w:color w:val="000000"/>
                <w:kern w:val="0"/>
                <w:sz w:val="20"/>
                <w:szCs w:val="20"/>
              </w:rPr>
            </w:pPr>
            <w:r>
              <w:rPr>
                <w:b/>
                <w:bCs/>
                <w:color w:val="000000"/>
                <w:kern w:val="0"/>
                <w:sz w:val="20"/>
                <w:szCs w:val="20"/>
              </w:rPr>
              <w:t>1-125</w:t>
            </w:r>
            <w:r>
              <w:rPr>
                <w:rFonts w:hint="eastAsia" w:ascii="宋体" w:hAnsi="宋体"/>
                <w:b/>
                <w:bCs/>
                <w:color w:val="000000"/>
                <w:kern w:val="0"/>
                <w:sz w:val="20"/>
                <w:szCs w:val="20"/>
              </w:rPr>
              <w:t>天</w:t>
            </w:r>
          </w:p>
        </w:tc>
        <w:tc>
          <w:tcPr>
            <w:tcW w:w="2607" w:type="dxa"/>
            <w:tcBorders>
              <w:top w:val="nil"/>
              <w:left w:val="nil"/>
              <w:bottom w:val="single" w:color="auto" w:sz="8" w:space="0"/>
              <w:right w:val="single" w:color="auto" w:sz="8" w:space="0"/>
            </w:tcBorders>
            <w:shd w:val="clear" w:color="auto" w:fill="auto"/>
            <w:noWrap/>
            <w:vAlign w:val="bottom"/>
          </w:tcPr>
          <w:p>
            <w:pPr>
              <w:jc w:val="both"/>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b/>
                <w:bCs/>
                <w:color w:val="000000"/>
                <w:kern w:val="0"/>
                <w:sz w:val="20"/>
                <w:szCs w:val="20"/>
              </w:rPr>
            </w:pPr>
            <w:r>
              <w:rPr>
                <w:b/>
                <w:bCs/>
                <w:color w:val="000000"/>
                <w:kern w:val="0"/>
                <w:sz w:val="20"/>
                <w:szCs w:val="20"/>
              </w:rPr>
              <w:t>1-180</w:t>
            </w:r>
            <w:r>
              <w:rPr>
                <w:rFonts w:hint="eastAsia" w:ascii="宋体" w:hAnsi="宋体"/>
                <w:b/>
                <w:bCs/>
                <w:color w:val="000000"/>
                <w:kern w:val="0"/>
                <w:sz w:val="20"/>
                <w:szCs w:val="20"/>
              </w:rPr>
              <w:t>天</w:t>
            </w:r>
          </w:p>
        </w:tc>
        <w:tc>
          <w:tcPr>
            <w:tcW w:w="2607"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b/>
                <w:bCs/>
                <w:color w:val="000000"/>
                <w:kern w:val="0"/>
                <w:sz w:val="20"/>
                <w:szCs w:val="20"/>
              </w:rPr>
            </w:pPr>
            <w:r>
              <w:rPr>
                <w:b/>
                <w:bCs/>
                <w:color w:val="000000"/>
                <w:kern w:val="0"/>
                <w:sz w:val="20"/>
                <w:szCs w:val="20"/>
              </w:rPr>
              <w:t>1-270</w:t>
            </w:r>
            <w:r>
              <w:rPr>
                <w:rFonts w:hint="eastAsia" w:ascii="宋体" w:hAnsi="宋体"/>
                <w:b/>
                <w:bCs/>
                <w:color w:val="000000"/>
                <w:kern w:val="0"/>
                <w:sz w:val="20"/>
                <w:szCs w:val="20"/>
              </w:rPr>
              <w:t>天</w:t>
            </w:r>
          </w:p>
        </w:tc>
        <w:tc>
          <w:tcPr>
            <w:tcW w:w="2607"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r>
        <w:tblPrEx>
          <w:tblCellMar>
            <w:top w:w="0" w:type="dxa"/>
            <w:left w:w="108" w:type="dxa"/>
            <w:bottom w:w="0" w:type="dxa"/>
            <w:right w:w="108" w:type="dxa"/>
          </w:tblCellMar>
        </w:tblPrEx>
        <w:trPr>
          <w:trHeight w:val="254" w:hRule="atLeast"/>
        </w:trPr>
        <w:tc>
          <w:tcPr>
            <w:tcW w:w="2953" w:type="dxa"/>
            <w:tcBorders>
              <w:top w:val="nil"/>
              <w:left w:val="single" w:color="auto" w:sz="8" w:space="0"/>
              <w:bottom w:val="single" w:color="auto" w:sz="8" w:space="0"/>
              <w:right w:val="single" w:color="auto" w:sz="8" w:space="0"/>
            </w:tcBorders>
            <w:shd w:val="clear" w:color="auto" w:fill="auto"/>
            <w:vAlign w:val="bottom"/>
          </w:tcPr>
          <w:p>
            <w:pPr>
              <w:jc w:val="center"/>
              <w:rPr>
                <w:rFonts w:ascii="宋体" w:hAnsi="宋体" w:cs="宋体"/>
                <w:b/>
                <w:bCs/>
                <w:color w:val="000000"/>
                <w:kern w:val="0"/>
                <w:sz w:val="20"/>
                <w:szCs w:val="20"/>
              </w:rPr>
            </w:pPr>
            <w:r>
              <w:rPr>
                <w:rFonts w:hint="eastAsia" w:ascii="宋体" w:hAnsi="宋体" w:cs="宋体"/>
                <w:b/>
                <w:bCs/>
                <w:color w:val="000000"/>
                <w:kern w:val="0"/>
                <w:sz w:val="20"/>
                <w:szCs w:val="20"/>
              </w:rPr>
              <w:t>全年保障</w:t>
            </w:r>
          </w:p>
        </w:tc>
        <w:tc>
          <w:tcPr>
            <w:tcW w:w="2607"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c>
          <w:tcPr>
            <w:tcW w:w="3301" w:type="dxa"/>
            <w:tcBorders>
              <w:top w:val="nil"/>
              <w:left w:val="nil"/>
              <w:bottom w:val="single" w:color="auto" w:sz="8" w:space="0"/>
              <w:right w:val="single" w:color="auto" w:sz="8" w:space="0"/>
            </w:tcBorders>
            <w:shd w:val="clear" w:color="auto" w:fill="auto"/>
            <w:noWrap/>
            <w:vAlign w:val="bottom"/>
          </w:tcPr>
          <w:p>
            <w:pPr>
              <w:jc w:val="center"/>
              <w:rPr>
                <w:color w:val="000000"/>
                <w:kern w:val="0"/>
                <w:sz w:val="20"/>
                <w:szCs w:val="20"/>
              </w:rPr>
            </w:pPr>
          </w:p>
        </w:tc>
      </w:tr>
    </w:tbl>
    <w:p>
      <w:pPr>
        <w:spacing w:line="440" w:lineRule="exact"/>
        <w:rPr>
          <w:rFonts w:ascii="宋体" w:hAnsi="宋体"/>
          <w:szCs w:val="28"/>
        </w:rPr>
      </w:pPr>
      <w:r>
        <w:rPr>
          <w:rFonts w:hint="eastAsia" w:ascii="宋体" w:hAnsi="宋体"/>
          <w:szCs w:val="28"/>
        </w:rPr>
        <w:t>备注：</w:t>
      </w:r>
    </w:p>
    <w:p>
      <w:pPr>
        <w:pStyle w:val="4"/>
        <w:numPr>
          <w:ilvl w:val="0"/>
          <w:numId w:val="2"/>
        </w:numPr>
        <w:spacing w:line="440" w:lineRule="exact"/>
        <w:ind w:firstLineChars="0"/>
        <w:rPr>
          <w:rFonts w:ascii="宋体" w:hAnsi="宋体"/>
          <w:szCs w:val="28"/>
        </w:rPr>
      </w:pPr>
      <w:r>
        <w:rPr>
          <w:rFonts w:hint="eastAsia" w:ascii="宋体" w:hAnsi="宋体"/>
          <w:szCs w:val="28"/>
        </w:rPr>
        <w:t>报价须满足项目要求，价格为含6%增值税价格（投标方须提供增值税专用发票，适用税率按国家税务政策执行。）并</w:t>
      </w:r>
      <w:r>
        <w:rPr>
          <w:rFonts w:ascii="宋体" w:hAnsi="宋体"/>
          <w:szCs w:val="28"/>
        </w:rPr>
        <w:t>包括</w:t>
      </w:r>
      <w:r>
        <w:rPr>
          <w:rFonts w:hint="eastAsia" w:ascii="宋体" w:hAnsi="宋体"/>
          <w:szCs w:val="28"/>
        </w:rPr>
        <w:t>所有相关费用。</w:t>
      </w:r>
    </w:p>
    <w:p>
      <w:pPr>
        <w:pStyle w:val="4"/>
        <w:numPr>
          <w:ilvl w:val="0"/>
          <w:numId w:val="2"/>
        </w:numPr>
        <w:spacing w:line="440" w:lineRule="exact"/>
        <w:ind w:firstLineChars="0"/>
        <w:rPr>
          <w:rFonts w:ascii="宋体" w:hAnsi="宋体"/>
          <w:szCs w:val="28"/>
        </w:rPr>
      </w:pPr>
      <w:r>
        <w:rPr>
          <w:rFonts w:hint="eastAsia" w:ascii="宋体" w:hAnsi="宋体"/>
          <w:szCs w:val="28"/>
        </w:rPr>
        <w:t>付款方式：按季度结算，例：4月结算1-3月费用，保险公司收款后须及时开具发票。</w:t>
      </w:r>
    </w:p>
    <w:p>
      <w:pPr>
        <w:pStyle w:val="4"/>
        <w:numPr>
          <w:ilvl w:val="0"/>
          <w:numId w:val="2"/>
        </w:numPr>
        <w:spacing w:line="440" w:lineRule="exact"/>
        <w:ind w:firstLineChars="0"/>
        <w:rPr>
          <w:rFonts w:ascii="宋体" w:hAnsi="宋体"/>
          <w:szCs w:val="28"/>
        </w:rPr>
      </w:pPr>
      <w:r>
        <w:rPr>
          <w:rFonts w:hint="eastAsia"/>
        </w:rPr>
        <w:t>保险期限：自合同签订之日起一年。</w:t>
      </w:r>
    </w:p>
    <w:p>
      <w:pPr>
        <w:pStyle w:val="4"/>
        <w:numPr>
          <w:ilvl w:val="0"/>
          <w:numId w:val="2"/>
        </w:numPr>
        <w:spacing w:line="440" w:lineRule="exact"/>
        <w:ind w:firstLineChars="0"/>
        <w:rPr>
          <w:rFonts w:ascii="宋体" w:hAnsi="宋体"/>
          <w:szCs w:val="28"/>
        </w:rPr>
      </w:pPr>
      <w:r>
        <w:rPr>
          <w:rFonts w:hint="eastAsia" w:ascii="宋体" w:hAnsi="宋体"/>
          <w:szCs w:val="28"/>
        </w:rPr>
        <w:t>报价以人民币填写，</w:t>
      </w:r>
      <w:r>
        <w:rPr>
          <w:rFonts w:hint="eastAsia"/>
        </w:rPr>
        <w:t>保险费金额</w:t>
      </w:r>
      <w:r>
        <w:rPr>
          <w:rFonts w:hint="eastAsia" w:ascii="宋体" w:hAnsi="宋体"/>
          <w:szCs w:val="28"/>
        </w:rPr>
        <w:t>小数点后两位为有效报价数字。</w:t>
      </w:r>
    </w:p>
    <w:p>
      <w:pPr>
        <w:pStyle w:val="4"/>
        <w:numPr>
          <w:ilvl w:val="0"/>
          <w:numId w:val="2"/>
        </w:numPr>
        <w:spacing w:line="440" w:lineRule="exact"/>
        <w:ind w:firstLineChars="0"/>
        <w:rPr>
          <w:rFonts w:ascii="宋体" w:hAnsi="宋体"/>
          <w:szCs w:val="28"/>
        </w:rPr>
      </w:pPr>
      <w:r>
        <w:rPr>
          <w:rFonts w:hint="eastAsia" w:ascii="宋体" w:hAnsi="宋体"/>
          <w:szCs w:val="28"/>
        </w:rPr>
        <w:t>必须按照报价函格式填写报价，不得私自更改报价函格式。</w:t>
      </w:r>
    </w:p>
    <w:p>
      <w:pPr>
        <w:pStyle w:val="4"/>
        <w:numPr>
          <w:ilvl w:val="0"/>
          <w:numId w:val="2"/>
        </w:numPr>
        <w:spacing w:line="440" w:lineRule="exact"/>
        <w:ind w:firstLineChars="0"/>
        <w:rPr>
          <w:rFonts w:ascii="宋体" w:hAnsi="宋体"/>
          <w:szCs w:val="28"/>
        </w:rPr>
      </w:pPr>
      <w:r>
        <w:rPr>
          <w:rFonts w:hint="eastAsia" w:ascii="宋体" w:hAnsi="宋体"/>
          <w:szCs w:val="28"/>
        </w:rPr>
        <w:t>本投标报价自开标日起有效期为90天。</w:t>
      </w:r>
    </w:p>
    <w:p>
      <w:pPr>
        <w:pStyle w:val="4"/>
        <w:numPr>
          <w:ilvl w:val="0"/>
          <w:numId w:val="2"/>
        </w:numPr>
        <w:spacing w:line="440" w:lineRule="exact"/>
        <w:ind w:firstLineChars="0"/>
        <w:rPr>
          <w:rFonts w:ascii="宋体" w:hAnsi="宋体"/>
          <w:szCs w:val="28"/>
        </w:rPr>
      </w:pPr>
      <w:r>
        <w:rPr>
          <w:rFonts w:hint="eastAsia" w:ascii="宋体" w:hAnsi="宋体"/>
          <w:szCs w:val="28"/>
        </w:rPr>
        <w:t>请附该项目保单和保险条款样本。</w:t>
      </w:r>
    </w:p>
    <w:p>
      <w:pPr>
        <w:spacing w:line="600" w:lineRule="exact"/>
        <w:rPr>
          <w:rFonts w:ascii="宋体" w:hAnsi="宋体"/>
          <w:szCs w:val="28"/>
        </w:rPr>
      </w:pPr>
      <w:r>
        <w:rPr>
          <w:rFonts w:hint="eastAsia" w:ascii="宋体" w:hAnsi="宋体"/>
          <w:szCs w:val="28"/>
        </w:rPr>
        <w:t>投标人代表签字：＿＿＿＿＿＿＿＿＿   职务：＿＿＿＿＿＿＿＿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A6BC9"/>
    <w:multiLevelType w:val="singleLevel"/>
    <w:tmpl w:val="606A6BC9"/>
    <w:lvl w:ilvl="0" w:tentative="0">
      <w:start w:val="7"/>
      <w:numFmt w:val="decimal"/>
      <w:lvlText w:val="%1."/>
      <w:lvlJc w:val="left"/>
      <w:pPr>
        <w:tabs>
          <w:tab w:val="left" w:pos="312"/>
        </w:tabs>
      </w:pPr>
    </w:lvl>
  </w:abstractNum>
  <w:abstractNum w:abstractNumId="1">
    <w:nsid w:val="7A48766F"/>
    <w:multiLevelType w:val="multilevel"/>
    <w:tmpl w:val="7A48766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A1726"/>
    <w:rsid w:val="03BF7DB8"/>
    <w:rsid w:val="09D853CC"/>
    <w:rsid w:val="0B416E25"/>
    <w:rsid w:val="0BC03671"/>
    <w:rsid w:val="0D354D6C"/>
    <w:rsid w:val="0F525018"/>
    <w:rsid w:val="168C37F1"/>
    <w:rsid w:val="1B02774B"/>
    <w:rsid w:val="1CAA41EF"/>
    <w:rsid w:val="214B36A3"/>
    <w:rsid w:val="25B733D2"/>
    <w:rsid w:val="287E19AA"/>
    <w:rsid w:val="28D62E55"/>
    <w:rsid w:val="2C7404E7"/>
    <w:rsid w:val="2CEE2920"/>
    <w:rsid w:val="2E3C3DC4"/>
    <w:rsid w:val="2E5E57F2"/>
    <w:rsid w:val="369171DA"/>
    <w:rsid w:val="38E8778F"/>
    <w:rsid w:val="3B916418"/>
    <w:rsid w:val="3F5846CC"/>
    <w:rsid w:val="42BE56B5"/>
    <w:rsid w:val="437B0DB0"/>
    <w:rsid w:val="49236263"/>
    <w:rsid w:val="51E7107C"/>
    <w:rsid w:val="54F411B1"/>
    <w:rsid w:val="55057FC2"/>
    <w:rsid w:val="5AFC7011"/>
    <w:rsid w:val="5D831F37"/>
    <w:rsid w:val="5E73027F"/>
    <w:rsid w:val="605D47C1"/>
    <w:rsid w:val="60935C75"/>
    <w:rsid w:val="61596A0B"/>
    <w:rsid w:val="63D145E0"/>
    <w:rsid w:val="6A3D156E"/>
    <w:rsid w:val="6E1F4810"/>
    <w:rsid w:val="74CF1070"/>
    <w:rsid w:val="798220B9"/>
    <w:rsid w:val="79FB2F3B"/>
    <w:rsid w:val="7B243960"/>
    <w:rsid w:val="7C4A0679"/>
    <w:rsid w:val="7E385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2704</Words>
  <Characters>2831</Characters>
  <Lines>0</Lines>
  <Paragraphs>0</Paragraphs>
  <TotalTime>1</TotalTime>
  <ScaleCrop>false</ScaleCrop>
  <LinksUpToDate>false</LinksUpToDate>
  <CharactersWithSpaces>2862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2022-07-14T07:01:00Z</dcterms:created>
  <dc:creator>a4319</dc:creator>
  <cp:lastModifiedBy>a5121</cp:lastModifiedBy>
  <dcterms:modified xsi:type="dcterms:W3CDTF">2025-08-12T03:15:56Z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A4D91E5177B54EF799BA60D8ED141F81</vt:lpwstr>
  </property>
</Properties>
</file>