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tabs>
          <w:tab w:val="left" w:pos="1361"/>
        </w:tabs>
        <w:kinsoku/>
        <w:wordWrap/>
        <w:overflowPunct/>
        <w:topLinePunct w:val="0"/>
        <w:bidi w:val="0"/>
        <w:snapToGrid/>
        <w:spacing w:before="0" w:line="500" w:lineRule="exact"/>
        <w:ind w:left="0" w:right="210" w:firstLine="720" w:firstLineChars="300"/>
        <w:jc w:val="center"/>
        <w:textAlignment w:val="auto"/>
        <w:rPr>
          <w:rFonts w:hint="eastAsia" w:ascii="微软雅黑" w:hAnsi="微软雅黑" w:eastAsia="微软雅黑" w:cs="微软雅黑"/>
          <w:b/>
          <w:bCs/>
          <w:color w:val="auto"/>
          <w:sz w:val="24"/>
          <w:szCs w:val="24"/>
        </w:rPr>
      </w:pPr>
      <w:bookmarkStart w:id="2" w:name="_GoBack"/>
      <w:bookmarkEnd w:id="2"/>
      <w:r>
        <w:rPr>
          <w:rFonts w:hint="eastAsia" w:ascii="微软雅黑" w:hAnsi="微软雅黑" w:eastAsia="微软雅黑" w:cs="微软雅黑"/>
          <w:b/>
          <w:bCs/>
          <w:color w:val="auto"/>
          <w:sz w:val="24"/>
          <w:szCs w:val="24"/>
        </w:rPr>
        <w:t>GB 44495与GB 44496</w:t>
      </w:r>
      <w:r>
        <w:rPr>
          <w:rFonts w:hint="eastAsia" w:ascii="微软雅黑" w:hAnsi="微软雅黑" w:eastAsia="微软雅黑" w:cs="微软雅黑"/>
          <w:b/>
          <w:bCs/>
          <w:color w:val="auto"/>
          <w:sz w:val="24"/>
          <w:szCs w:val="24"/>
          <w:lang w:eastAsia="zh-CN"/>
        </w:rPr>
        <w:t>管理体系</w:t>
      </w:r>
      <w:r>
        <w:rPr>
          <w:rFonts w:hint="eastAsia" w:ascii="微软雅黑" w:hAnsi="微软雅黑" w:eastAsia="微软雅黑" w:cs="微软雅黑"/>
          <w:b/>
          <w:bCs/>
          <w:color w:val="auto"/>
          <w:sz w:val="24"/>
          <w:szCs w:val="24"/>
          <w:lang w:val="en-US" w:eastAsia="zh-CN"/>
        </w:rPr>
        <w:t>审核及样车检验</w:t>
      </w:r>
      <w:r>
        <w:rPr>
          <w:rFonts w:hint="eastAsia" w:ascii="微软雅黑" w:hAnsi="微软雅黑" w:eastAsia="微软雅黑" w:cs="微软雅黑"/>
          <w:b/>
          <w:bCs/>
          <w:color w:val="auto"/>
          <w:sz w:val="24"/>
          <w:szCs w:val="24"/>
        </w:rPr>
        <w:t>招标技术要求</w:t>
      </w:r>
    </w:p>
    <w:p>
      <w:pPr>
        <w:keepNext w:val="0"/>
        <w:keepLines w:val="0"/>
        <w:pageBreakBefore w:val="0"/>
        <w:widowControl w:val="0"/>
        <w:kinsoku/>
        <w:wordWrap/>
        <w:overflowPunct/>
        <w:topLinePunct w:val="0"/>
        <w:bidi w:val="0"/>
        <w:snapToGrid/>
        <w:spacing w:line="500" w:lineRule="exact"/>
        <w:textAlignment w:val="auto"/>
        <w:rPr>
          <w:rFonts w:ascii="微软雅黑" w:hAnsi="微软雅黑" w:eastAsia="微软雅黑" w:cs="微软雅黑"/>
          <w:b/>
          <w:bCs/>
          <w:color w:val="auto"/>
          <w:szCs w:val="21"/>
        </w:rPr>
      </w:pPr>
      <w:r>
        <w:rPr>
          <w:rFonts w:hint="eastAsia" w:ascii="微软雅黑" w:hAnsi="微软雅黑" w:eastAsia="微软雅黑" w:cs="微软雅黑"/>
          <w:b/>
          <w:bCs/>
          <w:color w:val="auto"/>
          <w:szCs w:val="21"/>
        </w:rPr>
        <w:t xml:space="preserve">1  </w:t>
      </w:r>
      <w:r>
        <w:rPr>
          <w:rFonts w:hint="eastAsia" w:ascii="微软雅黑" w:hAnsi="微软雅黑" w:eastAsia="微软雅黑" w:cs="微软雅黑"/>
          <w:b/>
          <w:bCs/>
          <w:color w:val="auto"/>
          <w:szCs w:val="21"/>
          <w:lang w:val="en-US" w:eastAsia="zh-CN"/>
        </w:rPr>
        <w:t>项目</w:t>
      </w:r>
      <w:r>
        <w:rPr>
          <w:rFonts w:hint="eastAsia" w:ascii="微软雅黑" w:hAnsi="微软雅黑" w:eastAsia="微软雅黑" w:cs="微软雅黑"/>
          <w:b/>
          <w:bCs/>
          <w:color w:val="auto"/>
          <w:szCs w:val="21"/>
        </w:rPr>
        <w:t>要求</w:t>
      </w:r>
    </w:p>
    <w:p>
      <w:pPr>
        <w:pStyle w:val="5"/>
        <w:keepNext w:val="0"/>
        <w:keepLines w:val="0"/>
        <w:pageBreakBefore w:val="0"/>
        <w:widowControl w:val="0"/>
        <w:tabs>
          <w:tab w:val="left" w:pos="1361"/>
        </w:tabs>
        <w:kinsoku/>
        <w:wordWrap/>
        <w:overflowPunct/>
        <w:topLinePunct w:val="0"/>
        <w:bidi w:val="0"/>
        <w:snapToGrid/>
        <w:spacing w:before="0" w:line="500" w:lineRule="exact"/>
        <w:ind w:left="0" w:leftChars="0" w:right="210" w:firstLine="0" w:firstLineChars="0"/>
        <w:textAlignment w:val="auto"/>
        <w:rPr>
          <w:rFonts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val="en-US" w:eastAsia="zh-CN"/>
        </w:rPr>
        <w:t>1.1 项目目标</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contextualSpacing/>
        <w:textAlignment w:val="auto"/>
        <w:rPr>
          <w:rFonts w:hint="eastAsia" w:ascii="微软雅黑" w:hAnsi="微软雅黑" w:eastAsia="微软雅黑"/>
          <w:color w:val="auto"/>
          <w:szCs w:val="22"/>
          <w:lang w:val="en-US" w:eastAsia="zh-CN"/>
        </w:rPr>
      </w:pPr>
      <w:bookmarkStart w:id="0" w:name="OLE_LINK1"/>
      <w:r>
        <w:rPr>
          <w:rFonts w:hint="eastAsia" w:ascii="微软雅黑" w:hAnsi="微软雅黑" w:eastAsia="微软雅黑"/>
          <w:color w:val="auto"/>
          <w:szCs w:val="22"/>
          <w:lang w:val="en-US" w:eastAsia="zh-CN"/>
        </w:rPr>
        <w:t>1）投标方需支持我方，建立符合GB 44495-2024《汽车整车信息安全技术要求》及GB 44496-2024《汽车软件升级通用技术要求》要求的管理体系，并取得工信部批准的管理体系资质。</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contextualSpacing/>
        <w:textAlignment w:val="auto"/>
        <w:rPr>
          <w:rFonts w:hint="default"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2）投标方需支持我方，进行一款符合新标准要求客车产品的开发及整改工作，并取得相应的汽车产品公告。</w:t>
      </w:r>
    </w:p>
    <w:p>
      <w:pPr>
        <w:keepNext w:val="0"/>
        <w:keepLines w:val="0"/>
        <w:pageBreakBefore w:val="0"/>
        <w:widowControl w:val="0"/>
        <w:kinsoku/>
        <w:wordWrap/>
        <w:overflowPunct/>
        <w:topLinePunct w:val="0"/>
        <w:autoSpaceDE w:val="0"/>
        <w:autoSpaceDN w:val="0"/>
        <w:bidi w:val="0"/>
        <w:adjustRightInd w:val="0"/>
        <w:snapToGrid/>
        <w:spacing w:line="500" w:lineRule="exact"/>
        <w:contextualSpacing/>
        <w:textAlignment w:val="auto"/>
        <w:rPr>
          <w:rFonts w:ascii="微软雅黑" w:hAnsi="微软雅黑" w:eastAsia="微软雅黑"/>
          <w:b/>
          <w:bCs/>
          <w:color w:val="auto"/>
        </w:rPr>
      </w:pPr>
      <w:r>
        <w:rPr>
          <w:rFonts w:hint="eastAsia" w:ascii="微软雅黑" w:hAnsi="微软雅黑" w:eastAsia="微软雅黑"/>
          <w:b/>
          <w:bCs/>
          <w:color w:val="auto"/>
          <w:lang w:val="en-US" w:eastAsia="zh-CN"/>
        </w:rPr>
        <w:t xml:space="preserve">1.2 </w:t>
      </w:r>
      <w:bookmarkEnd w:id="0"/>
      <w:r>
        <w:rPr>
          <w:rFonts w:hint="eastAsia" w:ascii="微软雅黑" w:hAnsi="微软雅黑" w:eastAsia="微软雅黑"/>
          <w:b/>
          <w:bCs/>
          <w:color w:val="auto"/>
          <w:lang w:val="en-US" w:eastAsia="zh-CN"/>
        </w:rPr>
        <w:t>信息安全管理</w:t>
      </w:r>
      <w:r>
        <w:rPr>
          <w:rFonts w:hint="eastAsia" w:ascii="微软雅黑" w:hAnsi="微软雅黑" w:eastAsia="微软雅黑"/>
          <w:b/>
          <w:bCs/>
          <w:color w:val="auto"/>
        </w:rPr>
        <w:t>体系认证及车型认证</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contextualSpacing/>
        <w:textAlignment w:val="auto"/>
        <w:rPr>
          <w:rFonts w:ascii="微软雅黑" w:hAnsi="微软雅黑" w:eastAsia="微软雅黑"/>
          <w:color w:val="auto"/>
        </w:rPr>
      </w:pPr>
      <w:r>
        <w:rPr>
          <w:rFonts w:hint="eastAsia" w:ascii="微软雅黑" w:hAnsi="微软雅黑" w:eastAsia="微软雅黑"/>
          <w:color w:val="auto"/>
          <w:lang w:val="en-US" w:eastAsia="zh-CN"/>
        </w:rPr>
        <w:t>1）</w:t>
      </w:r>
      <w:r>
        <w:rPr>
          <w:rFonts w:hint="eastAsia" w:ascii="微软雅黑" w:hAnsi="微软雅黑" w:eastAsia="微软雅黑"/>
          <w:color w:val="auto"/>
        </w:rPr>
        <w:t>基于</w:t>
      </w:r>
      <w:r>
        <w:rPr>
          <w:rFonts w:hint="eastAsia" w:ascii="微软雅黑" w:hAnsi="微软雅黑" w:eastAsia="微软雅黑"/>
          <w:color w:val="auto"/>
          <w:lang w:val="en-US" w:eastAsia="zh-CN"/>
        </w:rPr>
        <w:t>GB 44495-2024《</w:t>
      </w:r>
      <w:r>
        <w:rPr>
          <w:rFonts w:hint="eastAsia" w:ascii="微软雅黑" w:hAnsi="微软雅黑" w:eastAsia="微软雅黑"/>
          <w:color w:val="auto"/>
        </w:rPr>
        <w:t>汽车整车信息安全技术要求</w:t>
      </w:r>
      <w:r>
        <w:rPr>
          <w:rFonts w:hint="eastAsia" w:ascii="微软雅黑" w:hAnsi="微软雅黑" w:eastAsia="微软雅黑"/>
          <w:color w:val="auto"/>
          <w:lang w:val="en-US" w:eastAsia="zh-CN"/>
        </w:rPr>
        <w:t>》标准要求</w:t>
      </w:r>
      <w:r>
        <w:rPr>
          <w:rFonts w:hint="eastAsia" w:ascii="微软雅黑" w:hAnsi="微软雅黑" w:eastAsia="微软雅黑"/>
          <w:color w:val="auto"/>
        </w:rPr>
        <w:t>，</w:t>
      </w:r>
      <w:r>
        <w:rPr>
          <w:rFonts w:hint="eastAsia" w:ascii="微软雅黑" w:hAnsi="微软雅黑" w:eastAsia="微软雅黑"/>
          <w:color w:val="auto"/>
          <w:lang w:val="en-US" w:eastAsia="zh-CN"/>
        </w:rPr>
        <w:t>指导我方</w:t>
      </w:r>
      <w:r>
        <w:rPr>
          <w:rFonts w:hint="eastAsia" w:ascii="微软雅黑" w:hAnsi="微软雅黑" w:eastAsia="微软雅黑"/>
          <w:color w:val="auto"/>
          <w:lang w:eastAsia="zh-CN"/>
        </w:rPr>
        <w:t>建立符合</w:t>
      </w:r>
      <w:r>
        <w:rPr>
          <w:rFonts w:hint="eastAsia" w:ascii="微软雅黑" w:hAnsi="微软雅黑" w:eastAsia="微软雅黑"/>
          <w:color w:val="auto"/>
          <w:lang w:val="en-US" w:eastAsia="zh-CN"/>
        </w:rPr>
        <w:t>认证</w:t>
      </w:r>
      <w:r>
        <w:rPr>
          <w:rFonts w:hint="eastAsia" w:ascii="微软雅黑" w:hAnsi="微软雅黑" w:eastAsia="微软雅黑"/>
          <w:color w:val="auto"/>
          <w:lang w:eastAsia="zh-CN"/>
        </w:rPr>
        <w:t>要求的信息</w:t>
      </w:r>
      <w:r>
        <w:rPr>
          <w:rFonts w:hint="eastAsia" w:ascii="微软雅黑" w:hAnsi="微软雅黑" w:eastAsia="微软雅黑"/>
          <w:color w:val="auto"/>
        </w:rPr>
        <w:t>安全管理体系</w:t>
      </w:r>
      <w:r>
        <w:rPr>
          <w:rFonts w:hint="eastAsia" w:ascii="微软雅黑" w:hAnsi="微软雅黑" w:eastAsia="微软雅黑"/>
          <w:color w:val="auto"/>
          <w:lang w:eastAsia="zh-CN"/>
        </w:rPr>
        <w:t>，完成管理体系</w:t>
      </w:r>
      <w:r>
        <w:rPr>
          <w:rFonts w:hint="eastAsia" w:ascii="微软雅黑" w:hAnsi="微软雅黑" w:eastAsia="微软雅黑"/>
          <w:color w:val="auto"/>
          <w:lang w:val="en-US" w:eastAsia="zh-CN"/>
        </w:rPr>
        <w:t>审核</w:t>
      </w:r>
      <w:r>
        <w:rPr>
          <w:rFonts w:hint="eastAsia" w:ascii="微软雅黑" w:hAnsi="微软雅黑" w:eastAsia="微软雅黑"/>
          <w:color w:val="auto"/>
          <w:lang w:eastAsia="zh-CN"/>
        </w:rPr>
        <w:t>，出具</w:t>
      </w:r>
      <w:r>
        <w:rPr>
          <w:rFonts w:hint="eastAsia" w:ascii="微软雅黑" w:hAnsi="微软雅黑" w:eastAsia="微软雅黑"/>
          <w:color w:val="auto"/>
          <w:lang w:val="en-US" w:eastAsia="zh-CN"/>
        </w:rPr>
        <w:t>检查</w:t>
      </w:r>
      <w:r>
        <w:rPr>
          <w:rFonts w:hint="eastAsia" w:ascii="微软雅黑" w:hAnsi="微软雅黑" w:eastAsia="微软雅黑"/>
          <w:color w:val="auto"/>
          <w:lang w:eastAsia="zh-CN"/>
        </w:rPr>
        <w:t>报告，</w:t>
      </w:r>
      <w:r>
        <w:rPr>
          <w:rFonts w:hint="eastAsia" w:ascii="微软雅黑" w:hAnsi="微软雅黑" w:eastAsia="微软雅黑"/>
          <w:color w:val="auto"/>
        </w:rPr>
        <w:t>协助</w:t>
      </w:r>
      <w:r>
        <w:rPr>
          <w:rFonts w:hint="eastAsia" w:ascii="微软雅黑" w:hAnsi="微软雅黑" w:eastAsia="微软雅黑"/>
          <w:color w:val="auto"/>
          <w:lang w:eastAsia="zh-CN"/>
        </w:rPr>
        <w:t>我方</w:t>
      </w:r>
      <w:r>
        <w:rPr>
          <w:rFonts w:hint="eastAsia" w:ascii="微软雅黑" w:hAnsi="微软雅黑" w:eastAsia="微软雅黑"/>
          <w:color w:val="auto"/>
        </w:rPr>
        <w:t>获取</w:t>
      </w:r>
      <w:r>
        <w:rPr>
          <w:rFonts w:hint="eastAsia" w:ascii="微软雅黑" w:hAnsi="微软雅黑" w:eastAsia="微软雅黑"/>
          <w:color w:val="auto"/>
          <w:lang w:eastAsia="zh-CN"/>
        </w:rPr>
        <w:t>工信部</w:t>
      </w:r>
      <w:r>
        <w:rPr>
          <w:rFonts w:hint="eastAsia" w:ascii="微软雅黑" w:hAnsi="微软雅黑" w:eastAsia="微软雅黑"/>
          <w:color w:val="auto"/>
          <w:lang w:val="en-US" w:eastAsia="zh-CN"/>
        </w:rPr>
        <w:t>批准</w:t>
      </w:r>
      <w:r>
        <w:rPr>
          <w:rFonts w:hint="eastAsia" w:ascii="微软雅黑" w:hAnsi="微软雅黑" w:eastAsia="微软雅黑"/>
          <w:color w:val="auto"/>
          <w:lang w:eastAsia="zh-CN"/>
        </w:rPr>
        <w:t>的管理</w:t>
      </w:r>
      <w:r>
        <w:rPr>
          <w:rFonts w:hint="eastAsia" w:ascii="微软雅黑" w:hAnsi="微软雅黑" w:eastAsia="微软雅黑"/>
          <w:color w:val="auto"/>
        </w:rPr>
        <w:t>体系</w:t>
      </w:r>
      <w:r>
        <w:rPr>
          <w:rFonts w:hint="eastAsia" w:ascii="微软雅黑" w:hAnsi="微软雅黑" w:eastAsia="微软雅黑"/>
          <w:color w:val="auto"/>
          <w:lang w:val="en-US" w:eastAsia="zh-CN"/>
        </w:rPr>
        <w:t>资质</w:t>
      </w:r>
      <w:r>
        <w:rPr>
          <w:rFonts w:hint="eastAsia" w:ascii="微软雅黑" w:hAnsi="微软雅黑" w:eastAsia="微软雅黑"/>
          <w:color w:val="auto"/>
        </w:rPr>
        <w:t>。</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contextualSpacing/>
        <w:textAlignment w:val="auto"/>
        <w:rPr>
          <w:rFonts w:ascii="微软雅黑" w:hAnsi="微软雅黑" w:eastAsia="微软雅黑"/>
          <w:color w:val="auto"/>
        </w:rPr>
      </w:pPr>
      <w:r>
        <w:rPr>
          <w:rFonts w:hint="eastAsia" w:ascii="微软雅黑" w:hAnsi="微软雅黑" w:eastAsia="微软雅黑"/>
          <w:color w:val="auto"/>
          <w:lang w:val="en-US" w:eastAsia="zh-CN"/>
        </w:rPr>
        <w:t>2）</w:t>
      </w:r>
      <w:r>
        <w:rPr>
          <w:rFonts w:hint="eastAsia" w:ascii="微软雅黑" w:hAnsi="微软雅黑" w:eastAsia="微软雅黑"/>
          <w:color w:val="auto"/>
          <w:lang w:eastAsia="zh-CN"/>
        </w:rPr>
        <w:t>根据我方提供的车型，按标准要求，</w:t>
      </w:r>
      <w:r>
        <w:rPr>
          <w:rFonts w:hint="eastAsia" w:ascii="微软雅黑" w:hAnsi="微软雅黑" w:eastAsia="微软雅黑"/>
          <w:color w:val="auto"/>
          <w:lang w:val="en-US" w:eastAsia="zh-CN"/>
        </w:rPr>
        <w:t>指导我方进行一款符合GB 44495-2024要求客车产品的开发及整改工作，</w:t>
      </w:r>
      <w:r>
        <w:rPr>
          <w:rFonts w:hint="eastAsia" w:ascii="微软雅黑" w:hAnsi="微软雅黑" w:eastAsia="微软雅黑"/>
          <w:color w:val="auto"/>
          <w:lang w:eastAsia="zh-CN"/>
        </w:rPr>
        <w:t>规划测试方案，完成</w:t>
      </w:r>
      <w:r>
        <w:rPr>
          <w:rFonts w:hint="eastAsia" w:ascii="微软雅黑" w:hAnsi="微软雅黑" w:eastAsia="微软雅黑"/>
          <w:color w:val="auto"/>
          <w:lang w:val="en-US" w:eastAsia="zh-CN"/>
        </w:rPr>
        <w:t>样车的检验</w:t>
      </w:r>
      <w:r>
        <w:rPr>
          <w:rFonts w:hint="eastAsia" w:ascii="微软雅黑" w:hAnsi="微软雅黑" w:eastAsia="微软雅黑"/>
          <w:color w:val="auto"/>
          <w:lang w:eastAsia="zh-CN"/>
        </w:rPr>
        <w:t>，并出具</w:t>
      </w:r>
      <w:r>
        <w:rPr>
          <w:rFonts w:hint="eastAsia" w:ascii="微软雅黑" w:hAnsi="微软雅黑" w:eastAsia="微软雅黑"/>
          <w:color w:val="auto"/>
          <w:lang w:val="en-US" w:eastAsia="zh-CN"/>
        </w:rPr>
        <w:t>检验</w:t>
      </w:r>
      <w:r>
        <w:rPr>
          <w:rFonts w:hint="eastAsia" w:ascii="微软雅黑" w:hAnsi="微软雅黑" w:eastAsia="微软雅黑"/>
          <w:color w:val="auto"/>
          <w:lang w:eastAsia="zh-CN"/>
        </w:rPr>
        <w:t>报告。</w:t>
      </w:r>
      <w:bookmarkStart w:id="1" w:name="OLE_LINK2"/>
      <w:r>
        <w:rPr>
          <w:rFonts w:hint="eastAsia" w:ascii="微软雅黑" w:hAnsi="微软雅黑" w:eastAsia="微软雅黑"/>
          <w:color w:val="auto"/>
          <w:lang w:val="en-US" w:eastAsia="zh-CN"/>
        </w:rPr>
        <w:t>指导我方进行申报，直至通过工信部批准，取得相应的汽车产品公告。</w:t>
      </w:r>
    </w:p>
    <w:bookmarkEnd w:id="1"/>
    <w:p>
      <w:pPr>
        <w:keepNext w:val="0"/>
        <w:keepLines w:val="0"/>
        <w:pageBreakBefore w:val="0"/>
        <w:widowControl w:val="0"/>
        <w:kinsoku/>
        <w:wordWrap/>
        <w:overflowPunct/>
        <w:topLinePunct w:val="0"/>
        <w:autoSpaceDE w:val="0"/>
        <w:autoSpaceDN w:val="0"/>
        <w:bidi w:val="0"/>
        <w:adjustRightInd w:val="0"/>
        <w:snapToGrid/>
        <w:spacing w:line="500" w:lineRule="exact"/>
        <w:contextualSpacing/>
        <w:textAlignment w:val="auto"/>
        <w:rPr>
          <w:rFonts w:hint="eastAsia" w:ascii="微软雅黑" w:hAnsi="微软雅黑" w:eastAsia="微软雅黑"/>
          <w:b/>
          <w:bCs/>
          <w:color w:val="auto"/>
          <w:szCs w:val="22"/>
          <w:lang w:val="en-US" w:eastAsia="zh-CN"/>
        </w:rPr>
      </w:pPr>
      <w:r>
        <w:rPr>
          <w:rFonts w:hint="eastAsia" w:ascii="微软雅黑" w:hAnsi="微软雅黑" w:eastAsia="微软雅黑"/>
          <w:b/>
          <w:bCs/>
          <w:color w:val="auto"/>
          <w:szCs w:val="22"/>
          <w:lang w:val="en-US" w:eastAsia="zh-CN"/>
        </w:rPr>
        <w:t>1.3 软件更新管理体系认证及车型认证</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contextualSpacing/>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1）基于GB 44496-2024《汽车软件升级通用技术要求》标准要求，指导我方建立符合认证要求的软件升级管理体系，完成管理体系审核，出具检查报告，协助我方获取工信部批准的管理体系</w:t>
      </w:r>
      <w:r>
        <w:rPr>
          <w:rFonts w:hint="eastAsia" w:ascii="微软雅黑" w:hAnsi="微软雅黑" w:eastAsia="微软雅黑"/>
          <w:color w:val="auto"/>
          <w:lang w:val="en-US" w:eastAsia="zh-CN"/>
        </w:rPr>
        <w:t>资质</w:t>
      </w:r>
      <w:r>
        <w:rPr>
          <w:rFonts w:hint="eastAsia" w:ascii="微软雅黑" w:hAnsi="微软雅黑" w:eastAsia="微软雅黑"/>
          <w:color w:val="auto"/>
          <w:szCs w:val="22"/>
          <w:lang w:val="en-US" w:eastAsia="zh-CN"/>
        </w:rPr>
        <w:t>。</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contextualSpacing/>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2）</w:t>
      </w:r>
      <w:r>
        <w:rPr>
          <w:rFonts w:hint="eastAsia" w:ascii="微软雅黑" w:hAnsi="微软雅黑" w:eastAsia="微软雅黑"/>
          <w:color w:val="auto"/>
          <w:lang w:eastAsia="zh-CN"/>
        </w:rPr>
        <w:t>根据我方提供的车型，按标准要求，</w:t>
      </w:r>
      <w:r>
        <w:rPr>
          <w:rFonts w:hint="eastAsia" w:ascii="微软雅黑" w:hAnsi="微软雅黑" w:eastAsia="微软雅黑"/>
          <w:color w:val="auto"/>
          <w:lang w:val="en-US" w:eastAsia="zh-CN"/>
        </w:rPr>
        <w:t>指导我方进行一款符合GB 44496-2024要求客车产品的开发及整改工作，</w:t>
      </w:r>
      <w:r>
        <w:rPr>
          <w:rFonts w:hint="eastAsia" w:ascii="微软雅黑" w:hAnsi="微软雅黑" w:eastAsia="微软雅黑"/>
          <w:color w:val="auto"/>
          <w:lang w:eastAsia="zh-CN"/>
        </w:rPr>
        <w:t>规划测试方案，完成</w:t>
      </w:r>
      <w:r>
        <w:rPr>
          <w:rFonts w:hint="eastAsia" w:ascii="微软雅黑" w:hAnsi="微软雅黑" w:eastAsia="微软雅黑"/>
          <w:color w:val="auto"/>
          <w:lang w:val="en-US" w:eastAsia="zh-CN"/>
        </w:rPr>
        <w:t>样车的检验</w:t>
      </w:r>
      <w:r>
        <w:rPr>
          <w:rFonts w:hint="eastAsia" w:ascii="微软雅黑" w:hAnsi="微软雅黑" w:eastAsia="微软雅黑"/>
          <w:color w:val="auto"/>
          <w:lang w:eastAsia="zh-CN"/>
        </w:rPr>
        <w:t>，并出具</w:t>
      </w:r>
      <w:r>
        <w:rPr>
          <w:rFonts w:hint="eastAsia" w:ascii="微软雅黑" w:hAnsi="微软雅黑" w:eastAsia="微软雅黑"/>
          <w:color w:val="auto"/>
          <w:lang w:val="en-US" w:eastAsia="zh-CN"/>
        </w:rPr>
        <w:t>检验</w:t>
      </w:r>
      <w:r>
        <w:rPr>
          <w:rFonts w:hint="eastAsia" w:ascii="微软雅黑" w:hAnsi="微软雅黑" w:eastAsia="微软雅黑"/>
          <w:color w:val="auto"/>
          <w:lang w:eastAsia="zh-CN"/>
        </w:rPr>
        <w:t>报告。</w:t>
      </w:r>
      <w:r>
        <w:rPr>
          <w:rFonts w:hint="eastAsia" w:ascii="微软雅黑" w:hAnsi="微软雅黑" w:eastAsia="微软雅黑"/>
          <w:color w:val="auto"/>
          <w:lang w:val="en-US" w:eastAsia="zh-CN"/>
        </w:rPr>
        <w:t>指导我方进行申报，直至通过工信部批准，取得相应的汽车产品公告。</w:t>
      </w:r>
    </w:p>
    <w:p>
      <w:pPr>
        <w:keepNext w:val="0"/>
        <w:keepLines w:val="0"/>
        <w:pageBreakBefore w:val="0"/>
        <w:widowControl w:val="0"/>
        <w:kinsoku/>
        <w:wordWrap/>
        <w:overflowPunct/>
        <w:topLinePunct w:val="0"/>
        <w:bidi w:val="0"/>
        <w:snapToGrid/>
        <w:spacing w:line="500" w:lineRule="exact"/>
        <w:textAlignment w:val="auto"/>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val="en-US" w:eastAsia="zh-CN"/>
        </w:rPr>
        <w:t>2 服务</w:t>
      </w:r>
      <w:r>
        <w:rPr>
          <w:rFonts w:hint="eastAsia" w:ascii="微软雅黑" w:hAnsi="微软雅黑" w:eastAsia="微软雅黑" w:cs="微软雅黑"/>
          <w:b/>
          <w:bCs/>
          <w:color w:val="auto"/>
          <w:szCs w:val="21"/>
        </w:rPr>
        <w:t>商要求</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1）投标方具有企业独立法人资格，具有合法有效的营业执照，注册时间不少于5年（截止投标之日）。也可由总公司授权分公司全权参与此次项目投标、签署合同并承担分公司开展业务的法律责任（需提供授权书）。</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ascii="微软雅黑" w:hAnsi="微软雅黑" w:eastAsia="微软雅黑"/>
          <w:color w:val="auto"/>
        </w:rPr>
      </w:pPr>
      <w:r>
        <w:rPr>
          <w:rFonts w:hint="eastAsia" w:ascii="微软雅黑" w:hAnsi="微软雅黑" w:eastAsia="微软雅黑"/>
          <w:color w:val="auto"/>
          <w:lang w:val="en-US" w:eastAsia="zh-CN"/>
        </w:rPr>
        <w:t>2）</w:t>
      </w:r>
      <w:r>
        <w:rPr>
          <w:rFonts w:hint="eastAsia" w:ascii="微软雅黑" w:hAnsi="微软雅黑" w:eastAsia="微软雅黑"/>
          <w:color w:val="auto"/>
          <w:szCs w:val="22"/>
          <w:lang w:val="en-US" w:eastAsia="zh-CN"/>
        </w:rPr>
        <w:t>投标方</w:t>
      </w:r>
      <w:r>
        <w:rPr>
          <w:rFonts w:hint="eastAsia" w:ascii="微软雅黑" w:hAnsi="微软雅黑" w:eastAsia="微软雅黑"/>
          <w:color w:val="auto"/>
        </w:rPr>
        <w:t>不应与其他汽车制造企业，有投资、直接或间接持股等商业合作关系。</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default"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3）投标方</w:t>
      </w:r>
      <w:r>
        <w:rPr>
          <w:rFonts w:hint="eastAsia" w:ascii="微软雅黑" w:hAnsi="微软雅黑" w:eastAsia="微软雅黑"/>
          <w:color w:val="auto"/>
          <w:lang w:val="en-US" w:eastAsia="zh-CN"/>
        </w:rPr>
        <w:t>须</w:t>
      </w:r>
      <w:r>
        <w:rPr>
          <w:rFonts w:hint="eastAsia" w:ascii="微软雅黑" w:hAnsi="微软雅黑" w:eastAsia="微软雅黑"/>
          <w:color w:val="auto"/>
          <w:szCs w:val="22"/>
          <w:lang w:val="en-US" w:eastAsia="zh-CN"/>
        </w:rPr>
        <w:t>按照《道路机动车辆生产企业及产品准入管理办法》，在工业和信息化部装备工业发展中心完成道路机动车辆检验检测机构备案，须提供证明材料。</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4）投标方须获得GB 44495-2024与GB 44496-2024的CNAS认可及CMA认证，若尚未完成认证认可工作，需提供承诺函，确保不影响项目进度。</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5) 投标方须具备完成本项目所需人员、设备等必要的资源。</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6）投标方在中标后，不得将本项目的工作内容分包或转包给其它服务商。</w:t>
      </w:r>
    </w:p>
    <w:p>
      <w:pPr>
        <w:keepNext w:val="0"/>
        <w:keepLines w:val="0"/>
        <w:pageBreakBefore w:val="0"/>
        <w:widowControl w:val="0"/>
        <w:kinsoku/>
        <w:wordWrap/>
        <w:overflowPunct/>
        <w:topLinePunct w:val="0"/>
        <w:bidi w:val="0"/>
        <w:snapToGrid/>
        <w:spacing w:line="500" w:lineRule="exact"/>
        <w:jc w:val="left"/>
        <w:textAlignment w:val="auto"/>
        <w:outlineLvl w:val="1"/>
        <w:rPr>
          <w:rFonts w:hint="eastAsia" w:ascii="微软雅黑" w:hAnsi="微软雅黑" w:eastAsia="微软雅黑"/>
          <w:b/>
          <w:bCs/>
          <w:color w:val="auto"/>
          <w:sz w:val="24"/>
          <w:szCs w:val="24"/>
          <w:lang w:val="en-US" w:eastAsia="zh-CN"/>
        </w:rPr>
      </w:pPr>
      <w:r>
        <w:rPr>
          <w:rFonts w:hint="eastAsia" w:ascii="微软雅黑" w:hAnsi="微软雅黑" w:eastAsia="微软雅黑"/>
          <w:b/>
          <w:bCs/>
          <w:color w:val="auto"/>
          <w:sz w:val="24"/>
          <w:szCs w:val="24"/>
          <w:lang w:val="en-US" w:eastAsia="zh-CN"/>
        </w:rPr>
        <w:t>3 项目管理要求</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1）项目的实施阶段须在我方所在地进行。</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2）投标方须指定项目经理和项目联系人，保证稳定的团队，团队人员需要变动时，须以书面形式知会到我方，并在不影响项目进度的情况下协调资源。项目经理人选需得到我方认可，投标方如需变更项目经理，需双方协商一致，方可变更。</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3）投标方在项目过程中出差所产生的用餐、住宿、交通、加班、补贴等费用均由投标方自行承担。</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4）投标方应自准检测工具，如有专用设备需要我方提供协助，应当提前协商。</w:t>
      </w:r>
    </w:p>
    <w:p>
      <w:pPr>
        <w:keepNext w:val="0"/>
        <w:keepLines w:val="0"/>
        <w:pageBreakBefore w:val="0"/>
        <w:widowControl w:val="0"/>
        <w:kinsoku/>
        <w:wordWrap/>
        <w:overflowPunct/>
        <w:topLinePunct w:val="0"/>
        <w:bidi w:val="0"/>
        <w:snapToGrid/>
        <w:spacing w:line="500" w:lineRule="exact"/>
        <w:jc w:val="left"/>
        <w:textAlignment w:val="auto"/>
        <w:outlineLvl w:val="1"/>
        <w:rPr>
          <w:rFonts w:hint="default" w:ascii="微软雅黑" w:hAnsi="微软雅黑" w:eastAsia="微软雅黑"/>
          <w:b/>
          <w:bCs/>
          <w:color w:val="auto"/>
          <w:sz w:val="24"/>
          <w:szCs w:val="24"/>
          <w:lang w:val="en-US" w:eastAsia="zh-CN"/>
        </w:rPr>
      </w:pPr>
      <w:r>
        <w:rPr>
          <w:rFonts w:hint="eastAsia" w:ascii="微软雅黑" w:hAnsi="微软雅黑" w:eastAsia="微软雅黑"/>
          <w:b/>
          <w:bCs/>
          <w:color w:val="auto"/>
          <w:sz w:val="24"/>
          <w:szCs w:val="24"/>
          <w:lang w:val="en-US" w:eastAsia="zh-CN"/>
        </w:rPr>
        <w:t>4</w:t>
      </w:r>
      <w:r>
        <w:rPr>
          <w:rFonts w:ascii="微软雅黑" w:hAnsi="微软雅黑" w:eastAsia="微软雅黑"/>
          <w:b/>
          <w:bCs/>
          <w:color w:val="auto"/>
          <w:sz w:val="24"/>
          <w:szCs w:val="24"/>
        </w:rPr>
        <w:t xml:space="preserve"> </w:t>
      </w:r>
      <w:r>
        <w:rPr>
          <w:rFonts w:hint="eastAsia" w:ascii="微软雅黑" w:hAnsi="微软雅黑" w:eastAsia="微软雅黑"/>
          <w:b/>
          <w:bCs/>
          <w:color w:val="auto"/>
          <w:sz w:val="24"/>
          <w:szCs w:val="24"/>
        </w:rPr>
        <w:t>项目</w:t>
      </w:r>
      <w:r>
        <w:rPr>
          <w:rFonts w:hint="eastAsia" w:ascii="微软雅黑" w:hAnsi="微软雅黑" w:eastAsia="微软雅黑"/>
          <w:b/>
          <w:bCs/>
          <w:color w:val="auto"/>
          <w:sz w:val="24"/>
          <w:szCs w:val="24"/>
          <w:lang w:val="en-US" w:eastAsia="zh-CN"/>
        </w:rPr>
        <w:t>进度</w:t>
      </w:r>
    </w:p>
    <w:p>
      <w:pPr>
        <w:keepNext w:val="0"/>
        <w:keepLines w:val="0"/>
        <w:pageBreakBefore w:val="0"/>
        <w:widowControl w:val="0"/>
        <w:kinsoku/>
        <w:wordWrap/>
        <w:overflowPunct/>
        <w:topLinePunct w:val="0"/>
        <w:bidi w:val="0"/>
        <w:snapToGrid/>
        <w:spacing w:line="500" w:lineRule="exact"/>
        <w:jc w:val="left"/>
        <w:textAlignment w:val="auto"/>
        <w:outlineLvl w:val="1"/>
        <w:rPr>
          <w:rFonts w:hint="default" w:ascii="微软雅黑" w:hAnsi="微软雅黑" w:eastAsia="微软雅黑"/>
          <w:b/>
          <w:bCs/>
          <w:color w:val="auto"/>
          <w:sz w:val="24"/>
          <w:szCs w:val="24"/>
          <w:lang w:val="en-US" w:eastAsia="zh-CN"/>
        </w:rPr>
      </w:pPr>
      <w:r>
        <w:rPr>
          <w:rFonts w:hint="eastAsia" w:ascii="微软雅黑" w:hAnsi="微软雅黑" w:eastAsia="微软雅黑"/>
          <w:b/>
          <w:bCs/>
          <w:color w:val="auto"/>
          <w:sz w:val="24"/>
          <w:szCs w:val="24"/>
          <w:lang w:val="en-US" w:eastAsia="zh-CN"/>
        </w:rPr>
        <w:t>4.1 总体时间计划</w:t>
      </w:r>
    </w:p>
    <w:tbl>
      <w:tblPr>
        <w:tblStyle w:val="12"/>
        <w:tblW w:w="77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5"/>
        <w:gridCol w:w="2460"/>
        <w:gridCol w:w="4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jc w:val="center"/>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jc w:val="center"/>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时间</w:t>
            </w:r>
          </w:p>
        </w:tc>
        <w:tc>
          <w:tcPr>
            <w:tcW w:w="4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jc w:val="center"/>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2025年6-8月</w:t>
            </w:r>
          </w:p>
        </w:tc>
        <w:tc>
          <w:tcPr>
            <w:tcW w:w="4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完成管理体系文件编制及内审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2</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2025年8-10月</w:t>
            </w:r>
          </w:p>
        </w:tc>
        <w:tc>
          <w:tcPr>
            <w:tcW w:w="4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完成管理体系审核，取得资质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2025年8-10月</w:t>
            </w:r>
          </w:p>
        </w:tc>
        <w:tc>
          <w:tcPr>
            <w:tcW w:w="4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开展产品测试、整改，取得检验报告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2025年11-12月</w:t>
            </w:r>
          </w:p>
        </w:tc>
        <w:tc>
          <w:tcPr>
            <w:tcW w:w="4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default"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2025年底前取得一款车型公告</w:t>
            </w:r>
          </w:p>
        </w:tc>
      </w:tr>
    </w:tbl>
    <w:p>
      <w:pPr>
        <w:keepNext w:val="0"/>
        <w:keepLines w:val="0"/>
        <w:pageBreakBefore w:val="0"/>
        <w:widowControl w:val="0"/>
        <w:kinsoku/>
        <w:wordWrap/>
        <w:overflowPunct/>
        <w:topLinePunct w:val="0"/>
        <w:bidi w:val="0"/>
        <w:snapToGrid/>
        <w:spacing w:line="500" w:lineRule="exact"/>
        <w:jc w:val="left"/>
        <w:textAlignment w:val="auto"/>
        <w:outlineLvl w:val="1"/>
        <w:rPr>
          <w:rFonts w:hint="eastAsia" w:ascii="微软雅黑" w:hAnsi="微软雅黑" w:eastAsia="微软雅黑"/>
          <w:b/>
          <w:bCs/>
          <w:color w:val="auto"/>
          <w:sz w:val="24"/>
          <w:szCs w:val="24"/>
          <w:lang w:val="en-US" w:eastAsia="zh-CN"/>
        </w:rPr>
      </w:pPr>
      <w:r>
        <w:rPr>
          <w:rFonts w:hint="eastAsia" w:ascii="微软雅黑" w:hAnsi="微软雅黑" w:eastAsia="微软雅黑"/>
          <w:b/>
          <w:bCs/>
          <w:color w:val="auto"/>
          <w:sz w:val="24"/>
          <w:szCs w:val="24"/>
          <w:lang w:val="en-US" w:eastAsia="zh-CN"/>
        </w:rPr>
        <w:t>4.2 相关商务条款</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default"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招标工作完成后，我方与中标方签订合同。合同签订后，我方支付合同总额30%的预付款；取得</w:t>
      </w:r>
      <w:r>
        <w:rPr>
          <w:rFonts w:hint="eastAsia" w:ascii="微软雅黑" w:hAnsi="微软雅黑" w:eastAsia="微软雅黑"/>
          <w:color w:val="auto"/>
          <w:lang w:eastAsia="zh-CN"/>
        </w:rPr>
        <w:t>工信部</w:t>
      </w:r>
      <w:r>
        <w:rPr>
          <w:rFonts w:hint="eastAsia" w:ascii="微软雅黑" w:hAnsi="微软雅黑" w:eastAsia="微软雅黑"/>
          <w:color w:val="auto"/>
          <w:lang w:val="en-US" w:eastAsia="zh-CN"/>
        </w:rPr>
        <w:t>批准</w:t>
      </w:r>
      <w:r>
        <w:rPr>
          <w:rFonts w:hint="eastAsia" w:ascii="微软雅黑" w:hAnsi="微软雅黑" w:eastAsia="微软雅黑"/>
          <w:color w:val="auto"/>
          <w:lang w:eastAsia="zh-CN"/>
        </w:rPr>
        <w:t>的</w:t>
      </w:r>
      <w:r>
        <w:rPr>
          <w:rFonts w:hint="eastAsia" w:ascii="微软雅黑" w:hAnsi="微软雅黑" w:eastAsia="微软雅黑"/>
          <w:color w:val="auto"/>
          <w:lang w:val="en-US" w:eastAsia="zh-CN"/>
        </w:rPr>
        <w:t>信息安全</w:t>
      </w:r>
      <w:r>
        <w:rPr>
          <w:rFonts w:hint="eastAsia" w:ascii="微软雅黑" w:hAnsi="微软雅黑" w:eastAsia="微软雅黑"/>
          <w:color w:val="auto"/>
          <w:lang w:eastAsia="zh-CN"/>
        </w:rPr>
        <w:t>管理</w:t>
      </w:r>
      <w:r>
        <w:rPr>
          <w:rFonts w:hint="eastAsia" w:ascii="微软雅黑" w:hAnsi="微软雅黑" w:eastAsia="微软雅黑"/>
          <w:color w:val="auto"/>
        </w:rPr>
        <w:t>体系</w:t>
      </w:r>
      <w:r>
        <w:rPr>
          <w:rFonts w:hint="eastAsia" w:ascii="微软雅黑" w:hAnsi="微软雅黑" w:eastAsia="微软雅黑"/>
          <w:color w:val="auto"/>
          <w:lang w:val="en-US" w:eastAsia="zh-CN"/>
        </w:rPr>
        <w:t>和软件更新管理体系资质后，我方支付</w:t>
      </w:r>
      <w:r>
        <w:rPr>
          <w:rFonts w:hint="eastAsia" w:ascii="微软雅黑" w:hAnsi="微软雅黑" w:eastAsia="微软雅黑"/>
          <w:color w:val="auto"/>
          <w:szCs w:val="22"/>
          <w:lang w:val="en-US" w:eastAsia="zh-CN"/>
        </w:rPr>
        <w:t>合同总额30%；取得约定车型的汽车产品公告，</w:t>
      </w:r>
      <w:r>
        <w:rPr>
          <w:rFonts w:hint="eastAsia" w:ascii="微软雅黑" w:hAnsi="微软雅黑" w:eastAsia="微软雅黑"/>
          <w:color w:val="auto"/>
          <w:lang w:val="en-US" w:eastAsia="zh-CN"/>
        </w:rPr>
        <w:t>我方支付</w:t>
      </w:r>
      <w:r>
        <w:rPr>
          <w:rFonts w:hint="eastAsia" w:ascii="微软雅黑" w:hAnsi="微软雅黑" w:eastAsia="微软雅黑"/>
          <w:color w:val="auto"/>
          <w:szCs w:val="22"/>
          <w:lang w:val="en-US" w:eastAsia="zh-CN"/>
        </w:rPr>
        <w:t>合同总额40%。</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若因中标方原因导致项目未能如期完成，我方有权按照合同总金额的0.1%/每天在尾款中扣除。中标方原因包括但不限于：</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 xml:space="preserve">1）项目人员安排不及时； </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2）试验安排不及时；</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default" w:ascii="微软雅黑" w:hAnsi="微软雅黑" w:eastAsia="微软雅黑"/>
          <w:color w:val="auto"/>
          <w:szCs w:val="22"/>
          <w:lang w:val="en-US" w:eastAsia="zh-CN"/>
        </w:rPr>
      </w:pPr>
      <w:r>
        <w:rPr>
          <w:rFonts w:hint="eastAsia" w:ascii="微软雅黑" w:hAnsi="微软雅黑" w:eastAsia="微软雅黑"/>
          <w:color w:val="auto"/>
          <w:szCs w:val="22"/>
          <w:lang w:val="en-US" w:eastAsia="zh-CN"/>
        </w:rPr>
        <w:t>3）未能及时、有效指导我方进行整改。</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787066"/>
    </w:sdtPr>
    <w:sdtContent>
      <w:sdt>
        <w:sdtPr>
          <w:id w:val="1728636285"/>
        </w:sdtPr>
        <w:sdtContent>
          <w:p>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default" w:eastAsia="宋体"/>
        <w:lang w:val="en-US" w:eastAsia="zh-CN"/>
      </w:rPr>
    </w:pPr>
    <w:r>
      <w:rPr>
        <w:rFonts w:hint="eastAsia"/>
      </w:rPr>
      <w:t>文件编号：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10244"/>
    <w:multiLevelType w:val="multilevel"/>
    <w:tmpl w:val="06F10244"/>
    <w:lvl w:ilvl="0" w:tentative="0">
      <w:start w:val="1"/>
      <w:numFmt w:val="decimal"/>
      <w:pStyle w:val="2"/>
      <w:lvlText w:val="%1."/>
      <w:lvlJc w:val="left"/>
      <w:pPr>
        <w:ind w:left="360" w:hanging="360"/>
      </w:pPr>
      <w:rPr>
        <w:rFonts w:hint="default" w:ascii="宋体" w:hAnsi="宋体" w:eastAsia="宋体"/>
        <w:highlight w:val="none"/>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79"/>
    <w:rsid w:val="00000755"/>
    <w:rsid w:val="00001A3C"/>
    <w:rsid w:val="00002518"/>
    <w:rsid w:val="00006573"/>
    <w:rsid w:val="000164C9"/>
    <w:rsid w:val="000217AF"/>
    <w:rsid w:val="00034C76"/>
    <w:rsid w:val="00047558"/>
    <w:rsid w:val="00050D18"/>
    <w:rsid w:val="00051953"/>
    <w:rsid w:val="00055830"/>
    <w:rsid w:val="00057944"/>
    <w:rsid w:val="000614F6"/>
    <w:rsid w:val="0006157A"/>
    <w:rsid w:val="0006235E"/>
    <w:rsid w:val="000635A7"/>
    <w:rsid w:val="00065646"/>
    <w:rsid w:val="000669B6"/>
    <w:rsid w:val="000671E8"/>
    <w:rsid w:val="0007284B"/>
    <w:rsid w:val="000732F0"/>
    <w:rsid w:val="00074860"/>
    <w:rsid w:val="000774ED"/>
    <w:rsid w:val="00081C84"/>
    <w:rsid w:val="00085520"/>
    <w:rsid w:val="00092AC7"/>
    <w:rsid w:val="000A3BB3"/>
    <w:rsid w:val="000B0EC1"/>
    <w:rsid w:val="000B1908"/>
    <w:rsid w:val="000B24E9"/>
    <w:rsid w:val="000B7DFE"/>
    <w:rsid w:val="000C027F"/>
    <w:rsid w:val="000C149D"/>
    <w:rsid w:val="000C386C"/>
    <w:rsid w:val="000C3B21"/>
    <w:rsid w:val="000D7EAE"/>
    <w:rsid w:val="000E5CE2"/>
    <w:rsid w:val="000F5698"/>
    <w:rsid w:val="001030EB"/>
    <w:rsid w:val="00105A6C"/>
    <w:rsid w:val="00107356"/>
    <w:rsid w:val="00110912"/>
    <w:rsid w:val="001121F8"/>
    <w:rsid w:val="001130A8"/>
    <w:rsid w:val="00117E7B"/>
    <w:rsid w:val="001270F6"/>
    <w:rsid w:val="001323C1"/>
    <w:rsid w:val="00134948"/>
    <w:rsid w:val="00136596"/>
    <w:rsid w:val="00140A11"/>
    <w:rsid w:val="00142AD0"/>
    <w:rsid w:val="001507E7"/>
    <w:rsid w:val="001512E8"/>
    <w:rsid w:val="0017110A"/>
    <w:rsid w:val="00173B0A"/>
    <w:rsid w:val="00181DD8"/>
    <w:rsid w:val="00181FC1"/>
    <w:rsid w:val="00185F5D"/>
    <w:rsid w:val="00195345"/>
    <w:rsid w:val="00195632"/>
    <w:rsid w:val="001A0BB2"/>
    <w:rsid w:val="001A31E6"/>
    <w:rsid w:val="001A3A93"/>
    <w:rsid w:val="001A3D29"/>
    <w:rsid w:val="001A53EC"/>
    <w:rsid w:val="001A5C1D"/>
    <w:rsid w:val="001A72B2"/>
    <w:rsid w:val="001B1DC8"/>
    <w:rsid w:val="001B788F"/>
    <w:rsid w:val="001C24A8"/>
    <w:rsid w:val="001C4360"/>
    <w:rsid w:val="001E1F37"/>
    <w:rsid w:val="001E3F74"/>
    <w:rsid w:val="001F05D7"/>
    <w:rsid w:val="001F53FF"/>
    <w:rsid w:val="00202AF6"/>
    <w:rsid w:val="00203334"/>
    <w:rsid w:val="002046AF"/>
    <w:rsid w:val="0020487E"/>
    <w:rsid w:val="00210B04"/>
    <w:rsid w:val="00211775"/>
    <w:rsid w:val="00212D9E"/>
    <w:rsid w:val="00212E48"/>
    <w:rsid w:val="00213B86"/>
    <w:rsid w:val="002166B2"/>
    <w:rsid w:val="00222335"/>
    <w:rsid w:val="00225F19"/>
    <w:rsid w:val="00233CC5"/>
    <w:rsid w:val="00234CA7"/>
    <w:rsid w:val="00240BBC"/>
    <w:rsid w:val="00242482"/>
    <w:rsid w:val="00243263"/>
    <w:rsid w:val="00245679"/>
    <w:rsid w:val="00246B99"/>
    <w:rsid w:val="00247651"/>
    <w:rsid w:val="00247A29"/>
    <w:rsid w:val="00250C10"/>
    <w:rsid w:val="00250DC6"/>
    <w:rsid w:val="002560D3"/>
    <w:rsid w:val="0026338B"/>
    <w:rsid w:val="002635B6"/>
    <w:rsid w:val="00264DEC"/>
    <w:rsid w:val="00267D4A"/>
    <w:rsid w:val="00271B6A"/>
    <w:rsid w:val="00271DD1"/>
    <w:rsid w:val="00273093"/>
    <w:rsid w:val="00277945"/>
    <w:rsid w:val="00280281"/>
    <w:rsid w:val="002861AD"/>
    <w:rsid w:val="00295AA0"/>
    <w:rsid w:val="002A0C8F"/>
    <w:rsid w:val="002A0F42"/>
    <w:rsid w:val="002A34C7"/>
    <w:rsid w:val="002A59F4"/>
    <w:rsid w:val="002A6A35"/>
    <w:rsid w:val="002C282D"/>
    <w:rsid w:val="002C408C"/>
    <w:rsid w:val="002C4437"/>
    <w:rsid w:val="002C529D"/>
    <w:rsid w:val="002C59BB"/>
    <w:rsid w:val="002D3A1A"/>
    <w:rsid w:val="002D6D31"/>
    <w:rsid w:val="002E0DA4"/>
    <w:rsid w:val="002E350B"/>
    <w:rsid w:val="002F4940"/>
    <w:rsid w:val="002F592F"/>
    <w:rsid w:val="002F6026"/>
    <w:rsid w:val="002F7FBF"/>
    <w:rsid w:val="0030097F"/>
    <w:rsid w:val="003060A7"/>
    <w:rsid w:val="00306EB1"/>
    <w:rsid w:val="00307407"/>
    <w:rsid w:val="003222E1"/>
    <w:rsid w:val="003224A3"/>
    <w:rsid w:val="00323176"/>
    <w:rsid w:val="00326A94"/>
    <w:rsid w:val="003454F7"/>
    <w:rsid w:val="003523AB"/>
    <w:rsid w:val="00352799"/>
    <w:rsid w:val="003536A9"/>
    <w:rsid w:val="00357F05"/>
    <w:rsid w:val="003604B2"/>
    <w:rsid w:val="003622BF"/>
    <w:rsid w:val="003643F4"/>
    <w:rsid w:val="00375823"/>
    <w:rsid w:val="00381164"/>
    <w:rsid w:val="00384526"/>
    <w:rsid w:val="003961B2"/>
    <w:rsid w:val="003A4A74"/>
    <w:rsid w:val="003A7053"/>
    <w:rsid w:val="003B094F"/>
    <w:rsid w:val="003B1D0A"/>
    <w:rsid w:val="003B413B"/>
    <w:rsid w:val="003B4A72"/>
    <w:rsid w:val="003C24F7"/>
    <w:rsid w:val="003C561E"/>
    <w:rsid w:val="003D04E0"/>
    <w:rsid w:val="003D19BB"/>
    <w:rsid w:val="003D2531"/>
    <w:rsid w:val="003D33FF"/>
    <w:rsid w:val="003D48B3"/>
    <w:rsid w:val="003D6A58"/>
    <w:rsid w:val="003E2D8A"/>
    <w:rsid w:val="003E5F7F"/>
    <w:rsid w:val="0040125F"/>
    <w:rsid w:val="004140A3"/>
    <w:rsid w:val="00414911"/>
    <w:rsid w:val="00416A62"/>
    <w:rsid w:val="004218B8"/>
    <w:rsid w:val="004232A7"/>
    <w:rsid w:val="0042369E"/>
    <w:rsid w:val="00424B4D"/>
    <w:rsid w:val="00426652"/>
    <w:rsid w:val="0042675C"/>
    <w:rsid w:val="00427CC5"/>
    <w:rsid w:val="0043469C"/>
    <w:rsid w:val="004409F6"/>
    <w:rsid w:val="00440A2E"/>
    <w:rsid w:val="00442787"/>
    <w:rsid w:val="00447E90"/>
    <w:rsid w:val="00450213"/>
    <w:rsid w:val="00464F9F"/>
    <w:rsid w:val="00474B55"/>
    <w:rsid w:val="00475537"/>
    <w:rsid w:val="00484E57"/>
    <w:rsid w:val="004850EF"/>
    <w:rsid w:val="00485757"/>
    <w:rsid w:val="004A1070"/>
    <w:rsid w:val="004B03F4"/>
    <w:rsid w:val="004B1435"/>
    <w:rsid w:val="004B166D"/>
    <w:rsid w:val="004B23D0"/>
    <w:rsid w:val="004B3575"/>
    <w:rsid w:val="004C02F9"/>
    <w:rsid w:val="004C3F05"/>
    <w:rsid w:val="004C5063"/>
    <w:rsid w:val="004D0B84"/>
    <w:rsid w:val="004D2CC0"/>
    <w:rsid w:val="004D3CCC"/>
    <w:rsid w:val="004D5EBA"/>
    <w:rsid w:val="004D61AB"/>
    <w:rsid w:val="004E0FFF"/>
    <w:rsid w:val="004F09A9"/>
    <w:rsid w:val="004F59DA"/>
    <w:rsid w:val="004F5EA2"/>
    <w:rsid w:val="004F6D1A"/>
    <w:rsid w:val="00500C7F"/>
    <w:rsid w:val="00504C05"/>
    <w:rsid w:val="00512A12"/>
    <w:rsid w:val="00512A23"/>
    <w:rsid w:val="00512F4D"/>
    <w:rsid w:val="00513152"/>
    <w:rsid w:val="00524E75"/>
    <w:rsid w:val="005311C4"/>
    <w:rsid w:val="00535216"/>
    <w:rsid w:val="00536806"/>
    <w:rsid w:val="00537446"/>
    <w:rsid w:val="00541A99"/>
    <w:rsid w:val="00545E15"/>
    <w:rsid w:val="00547640"/>
    <w:rsid w:val="0056112F"/>
    <w:rsid w:val="00576310"/>
    <w:rsid w:val="00576465"/>
    <w:rsid w:val="005804BC"/>
    <w:rsid w:val="00581621"/>
    <w:rsid w:val="00581877"/>
    <w:rsid w:val="00586ED8"/>
    <w:rsid w:val="00590F2A"/>
    <w:rsid w:val="00592012"/>
    <w:rsid w:val="00592D1B"/>
    <w:rsid w:val="0059385D"/>
    <w:rsid w:val="00594953"/>
    <w:rsid w:val="005A3E7C"/>
    <w:rsid w:val="005A41FD"/>
    <w:rsid w:val="005A43CC"/>
    <w:rsid w:val="005A6C19"/>
    <w:rsid w:val="005A75B9"/>
    <w:rsid w:val="005B26AF"/>
    <w:rsid w:val="005C2F76"/>
    <w:rsid w:val="005D6FB9"/>
    <w:rsid w:val="005E22BA"/>
    <w:rsid w:val="005E2CE1"/>
    <w:rsid w:val="005E3E6D"/>
    <w:rsid w:val="005E624F"/>
    <w:rsid w:val="005F0329"/>
    <w:rsid w:val="005F319C"/>
    <w:rsid w:val="005F3956"/>
    <w:rsid w:val="00600FB0"/>
    <w:rsid w:val="00601152"/>
    <w:rsid w:val="00603F85"/>
    <w:rsid w:val="00604E14"/>
    <w:rsid w:val="0060527F"/>
    <w:rsid w:val="006062EA"/>
    <w:rsid w:val="006077D9"/>
    <w:rsid w:val="00612EE8"/>
    <w:rsid w:val="00613F8C"/>
    <w:rsid w:val="006152DE"/>
    <w:rsid w:val="00616899"/>
    <w:rsid w:val="0062072D"/>
    <w:rsid w:val="00622631"/>
    <w:rsid w:val="0063022E"/>
    <w:rsid w:val="0063063F"/>
    <w:rsid w:val="00634C01"/>
    <w:rsid w:val="00635FDB"/>
    <w:rsid w:val="00636E0B"/>
    <w:rsid w:val="00637760"/>
    <w:rsid w:val="00653A05"/>
    <w:rsid w:val="00657579"/>
    <w:rsid w:val="0066769D"/>
    <w:rsid w:val="0066773D"/>
    <w:rsid w:val="00670824"/>
    <w:rsid w:val="00670A5E"/>
    <w:rsid w:val="00674665"/>
    <w:rsid w:val="00676188"/>
    <w:rsid w:val="0068060D"/>
    <w:rsid w:val="00680D6F"/>
    <w:rsid w:val="006A0922"/>
    <w:rsid w:val="006A5618"/>
    <w:rsid w:val="006B3333"/>
    <w:rsid w:val="006B3546"/>
    <w:rsid w:val="006B7280"/>
    <w:rsid w:val="006C1A9B"/>
    <w:rsid w:val="006C2751"/>
    <w:rsid w:val="006C6D9F"/>
    <w:rsid w:val="006D1552"/>
    <w:rsid w:val="006D36E6"/>
    <w:rsid w:val="006D5590"/>
    <w:rsid w:val="006D67B1"/>
    <w:rsid w:val="006E3928"/>
    <w:rsid w:val="006E7300"/>
    <w:rsid w:val="006F4B83"/>
    <w:rsid w:val="007072F1"/>
    <w:rsid w:val="0072061C"/>
    <w:rsid w:val="007241BB"/>
    <w:rsid w:val="00726C5F"/>
    <w:rsid w:val="007316FA"/>
    <w:rsid w:val="0073367B"/>
    <w:rsid w:val="007413EF"/>
    <w:rsid w:val="007433E2"/>
    <w:rsid w:val="0074406B"/>
    <w:rsid w:val="00752113"/>
    <w:rsid w:val="00753452"/>
    <w:rsid w:val="00753B21"/>
    <w:rsid w:val="0075791E"/>
    <w:rsid w:val="00760ED0"/>
    <w:rsid w:val="00762BCE"/>
    <w:rsid w:val="00762D99"/>
    <w:rsid w:val="007700AF"/>
    <w:rsid w:val="00777139"/>
    <w:rsid w:val="00780A3E"/>
    <w:rsid w:val="007832FC"/>
    <w:rsid w:val="00783DFE"/>
    <w:rsid w:val="00785C58"/>
    <w:rsid w:val="007A420F"/>
    <w:rsid w:val="007A7111"/>
    <w:rsid w:val="007B122A"/>
    <w:rsid w:val="007B21FE"/>
    <w:rsid w:val="007B367A"/>
    <w:rsid w:val="007B6B50"/>
    <w:rsid w:val="007B76B5"/>
    <w:rsid w:val="007B7939"/>
    <w:rsid w:val="007C1D6F"/>
    <w:rsid w:val="007C50B1"/>
    <w:rsid w:val="007D196F"/>
    <w:rsid w:val="007D1BD4"/>
    <w:rsid w:val="007D1F50"/>
    <w:rsid w:val="007E2218"/>
    <w:rsid w:val="007E61A8"/>
    <w:rsid w:val="007E7BB6"/>
    <w:rsid w:val="007F051F"/>
    <w:rsid w:val="007F13DE"/>
    <w:rsid w:val="007F2591"/>
    <w:rsid w:val="007F2AF0"/>
    <w:rsid w:val="007F2F28"/>
    <w:rsid w:val="007F6E38"/>
    <w:rsid w:val="008119AF"/>
    <w:rsid w:val="00816D85"/>
    <w:rsid w:val="00820343"/>
    <w:rsid w:val="00822D2B"/>
    <w:rsid w:val="0082756E"/>
    <w:rsid w:val="00830743"/>
    <w:rsid w:val="00830BA8"/>
    <w:rsid w:val="008323A0"/>
    <w:rsid w:val="0083273F"/>
    <w:rsid w:val="00840DAB"/>
    <w:rsid w:val="00844B71"/>
    <w:rsid w:val="00861AE4"/>
    <w:rsid w:val="00870191"/>
    <w:rsid w:val="00873BBF"/>
    <w:rsid w:val="008743C6"/>
    <w:rsid w:val="008749AE"/>
    <w:rsid w:val="008846DE"/>
    <w:rsid w:val="00891B5E"/>
    <w:rsid w:val="008937AC"/>
    <w:rsid w:val="008939AC"/>
    <w:rsid w:val="00894FEA"/>
    <w:rsid w:val="00897561"/>
    <w:rsid w:val="008A3650"/>
    <w:rsid w:val="008A6E22"/>
    <w:rsid w:val="008B0E43"/>
    <w:rsid w:val="008B4B3F"/>
    <w:rsid w:val="008B6076"/>
    <w:rsid w:val="008C0E33"/>
    <w:rsid w:val="008C26F6"/>
    <w:rsid w:val="008C3631"/>
    <w:rsid w:val="008C42FC"/>
    <w:rsid w:val="008D0142"/>
    <w:rsid w:val="008D1CB7"/>
    <w:rsid w:val="008D2BF6"/>
    <w:rsid w:val="008D4E64"/>
    <w:rsid w:val="008E17CA"/>
    <w:rsid w:val="009005C7"/>
    <w:rsid w:val="00903FB7"/>
    <w:rsid w:val="0090582C"/>
    <w:rsid w:val="00920B7E"/>
    <w:rsid w:val="00922326"/>
    <w:rsid w:val="0092464F"/>
    <w:rsid w:val="00931B47"/>
    <w:rsid w:val="0093221C"/>
    <w:rsid w:val="00932AAB"/>
    <w:rsid w:val="009402AE"/>
    <w:rsid w:val="009539D7"/>
    <w:rsid w:val="00957281"/>
    <w:rsid w:val="00957C07"/>
    <w:rsid w:val="0096279F"/>
    <w:rsid w:val="009645AF"/>
    <w:rsid w:val="0096706B"/>
    <w:rsid w:val="00967DD2"/>
    <w:rsid w:val="0097256F"/>
    <w:rsid w:val="00976F47"/>
    <w:rsid w:val="00977265"/>
    <w:rsid w:val="009776DF"/>
    <w:rsid w:val="00982753"/>
    <w:rsid w:val="0098380F"/>
    <w:rsid w:val="0098549B"/>
    <w:rsid w:val="0098787A"/>
    <w:rsid w:val="00993409"/>
    <w:rsid w:val="00994F0B"/>
    <w:rsid w:val="009A12A6"/>
    <w:rsid w:val="009A534E"/>
    <w:rsid w:val="009B6BE7"/>
    <w:rsid w:val="009B7DF8"/>
    <w:rsid w:val="009C0573"/>
    <w:rsid w:val="009C0C9C"/>
    <w:rsid w:val="009C4253"/>
    <w:rsid w:val="009E48CD"/>
    <w:rsid w:val="009E5016"/>
    <w:rsid w:val="009E5A8A"/>
    <w:rsid w:val="009E7D43"/>
    <w:rsid w:val="009E7D52"/>
    <w:rsid w:val="009F68EB"/>
    <w:rsid w:val="009F73B3"/>
    <w:rsid w:val="00A00DDD"/>
    <w:rsid w:val="00A016E2"/>
    <w:rsid w:val="00A0242D"/>
    <w:rsid w:val="00A02946"/>
    <w:rsid w:val="00A02A87"/>
    <w:rsid w:val="00A02EF1"/>
    <w:rsid w:val="00A052C0"/>
    <w:rsid w:val="00A07EFC"/>
    <w:rsid w:val="00A14BCD"/>
    <w:rsid w:val="00A165D0"/>
    <w:rsid w:val="00A23FF7"/>
    <w:rsid w:val="00A2439E"/>
    <w:rsid w:val="00A24F03"/>
    <w:rsid w:val="00A262B7"/>
    <w:rsid w:val="00A360D6"/>
    <w:rsid w:val="00A36753"/>
    <w:rsid w:val="00A37018"/>
    <w:rsid w:val="00A37E0B"/>
    <w:rsid w:val="00A43595"/>
    <w:rsid w:val="00A44AB9"/>
    <w:rsid w:val="00A45C44"/>
    <w:rsid w:val="00A56FA5"/>
    <w:rsid w:val="00A601EF"/>
    <w:rsid w:val="00A60A91"/>
    <w:rsid w:val="00A65344"/>
    <w:rsid w:val="00A73491"/>
    <w:rsid w:val="00A76323"/>
    <w:rsid w:val="00A779D2"/>
    <w:rsid w:val="00A82807"/>
    <w:rsid w:val="00A83C7C"/>
    <w:rsid w:val="00A91DDA"/>
    <w:rsid w:val="00A93A33"/>
    <w:rsid w:val="00AA0B8F"/>
    <w:rsid w:val="00AA10DC"/>
    <w:rsid w:val="00AB0D83"/>
    <w:rsid w:val="00AB1638"/>
    <w:rsid w:val="00AB1D0A"/>
    <w:rsid w:val="00AB276D"/>
    <w:rsid w:val="00AB752C"/>
    <w:rsid w:val="00AC0D5E"/>
    <w:rsid w:val="00AC2762"/>
    <w:rsid w:val="00AC3460"/>
    <w:rsid w:val="00AC58CA"/>
    <w:rsid w:val="00AC5C4A"/>
    <w:rsid w:val="00AC68EB"/>
    <w:rsid w:val="00AC6FDA"/>
    <w:rsid w:val="00AD41EB"/>
    <w:rsid w:val="00AE0D32"/>
    <w:rsid w:val="00AE1922"/>
    <w:rsid w:val="00AE39F6"/>
    <w:rsid w:val="00AE69F3"/>
    <w:rsid w:val="00AE77B6"/>
    <w:rsid w:val="00AF0AC5"/>
    <w:rsid w:val="00AF76DC"/>
    <w:rsid w:val="00B01B71"/>
    <w:rsid w:val="00B07E10"/>
    <w:rsid w:val="00B1501B"/>
    <w:rsid w:val="00B156EC"/>
    <w:rsid w:val="00B259DE"/>
    <w:rsid w:val="00B30CF7"/>
    <w:rsid w:val="00B33586"/>
    <w:rsid w:val="00B33E04"/>
    <w:rsid w:val="00B351A4"/>
    <w:rsid w:val="00B4122F"/>
    <w:rsid w:val="00B44B38"/>
    <w:rsid w:val="00B45DAB"/>
    <w:rsid w:val="00B463B0"/>
    <w:rsid w:val="00B466F7"/>
    <w:rsid w:val="00B50AF0"/>
    <w:rsid w:val="00B528BE"/>
    <w:rsid w:val="00B533B2"/>
    <w:rsid w:val="00B54763"/>
    <w:rsid w:val="00B55ECB"/>
    <w:rsid w:val="00B56358"/>
    <w:rsid w:val="00B563E4"/>
    <w:rsid w:val="00B65708"/>
    <w:rsid w:val="00B706C2"/>
    <w:rsid w:val="00B81989"/>
    <w:rsid w:val="00B87B82"/>
    <w:rsid w:val="00B97DF9"/>
    <w:rsid w:val="00BA069C"/>
    <w:rsid w:val="00BA3D65"/>
    <w:rsid w:val="00BA56F3"/>
    <w:rsid w:val="00BA57B1"/>
    <w:rsid w:val="00BB1261"/>
    <w:rsid w:val="00BB310C"/>
    <w:rsid w:val="00BB3E18"/>
    <w:rsid w:val="00BC4AC6"/>
    <w:rsid w:val="00BC6929"/>
    <w:rsid w:val="00BD0110"/>
    <w:rsid w:val="00BD4585"/>
    <w:rsid w:val="00BE07D0"/>
    <w:rsid w:val="00BE19EF"/>
    <w:rsid w:val="00BE5C22"/>
    <w:rsid w:val="00BF08DE"/>
    <w:rsid w:val="00BF1A95"/>
    <w:rsid w:val="00BF31C4"/>
    <w:rsid w:val="00BF3748"/>
    <w:rsid w:val="00C01ECE"/>
    <w:rsid w:val="00C137B0"/>
    <w:rsid w:val="00C14E44"/>
    <w:rsid w:val="00C155BA"/>
    <w:rsid w:val="00C158D0"/>
    <w:rsid w:val="00C27B7B"/>
    <w:rsid w:val="00C31B23"/>
    <w:rsid w:val="00C3319C"/>
    <w:rsid w:val="00C359B4"/>
    <w:rsid w:val="00C407BD"/>
    <w:rsid w:val="00C43FE1"/>
    <w:rsid w:val="00C51EFF"/>
    <w:rsid w:val="00C53D0E"/>
    <w:rsid w:val="00C570D3"/>
    <w:rsid w:val="00C631E8"/>
    <w:rsid w:val="00C64C30"/>
    <w:rsid w:val="00C65FC9"/>
    <w:rsid w:val="00C67F73"/>
    <w:rsid w:val="00C7567F"/>
    <w:rsid w:val="00C8591D"/>
    <w:rsid w:val="00C8677B"/>
    <w:rsid w:val="00C93372"/>
    <w:rsid w:val="00CA1CD1"/>
    <w:rsid w:val="00CA2F5A"/>
    <w:rsid w:val="00CA33A3"/>
    <w:rsid w:val="00CA662D"/>
    <w:rsid w:val="00CA66D9"/>
    <w:rsid w:val="00CA78B3"/>
    <w:rsid w:val="00CA7B74"/>
    <w:rsid w:val="00CB0640"/>
    <w:rsid w:val="00CB3470"/>
    <w:rsid w:val="00CB6BA2"/>
    <w:rsid w:val="00CC0190"/>
    <w:rsid w:val="00CC5A4A"/>
    <w:rsid w:val="00CC66CD"/>
    <w:rsid w:val="00CC6AE7"/>
    <w:rsid w:val="00CD2A72"/>
    <w:rsid w:val="00CD4F9F"/>
    <w:rsid w:val="00CE255F"/>
    <w:rsid w:val="00CE35BA"/>
    <w:rsid w:val="00CE6A3D"/>
    <w:rsid w:val="00CE78F4"/>
    <w:rsid w:val="00CF2B8C"/>
    <w:rsid w:val="00CF3B49"/>
    <w:rsid w:val="00CF462B"/>
    <w:rsid w:val="00D034EE"/>
    <w:rsid w:val="00D07BFC"/>
    <w:rsid w:val="00D1018A"/>
    <w:rsid w:val="00D160C1"/>
    <w:rsid w:val="00D20439"/>
    <w:rsid w:val="00D224C3"/>
    <w:rsid w:val="00D26114"/>
    <w:rsid w:val="00D32A39"/>
    <w:rsid w:val="00D37203"/>
    <w:rsid w:val="00D40826"/>
    <w:rsid w:val="00D439FA"/>
    <w:rsid w:val="00D4574C"/>
    <w:rsid w:val="00D46525"/>
    <w:rsid w:val="00D46E22"/>
    <w:rsid w:val="00D4789A"/>
    <w:rsid w:val="00D52A07"/>
    <w:rsid w:val="00D53134"/>
    <w:rsid w:val="00D56F9C"/>
    <w:rsid w:val="00D60717"/>
    <w:rsid w:val="00D674E3"/>
    <w:rsid w:val="00D76FBA"/>
    <w:rsid w:val="00D7778B"/>
    <w:rsid w:val="00D94AAC"/>
    <w:rsid w:val="00D95985"/>
    <w:rsid w:val="00DA1CF0"/>
    <w:rsid w:val="00DA2601"/>
    <w:rsid w:val="00DA4E3B"/>
    <w:rsid w:val="00DA7BA6"/>
    <w:rsid w:val="00DB233E"/>
    <w:rsid w:val="00DC2307"/>
    <w:rsid w:val="00DC4F52"/>
    <w:rsid w:val="00DC6C1E"/>
    <w:rsid w:val="00DC7025"/>
    <w:rsid w:val="00DC7DBF"/>
    <w:rsid w:val="00DC7F49"/>
    <w:rsid w:val="00DD1F5F"/>
    <w:rsid w:val="00DE16BF"/>
    <w:rsid w:val="00DF0AFA"/>
    <w:rsid w:val="00DF0F86"/>
    <w:rsid w:val="00DF182D"/>
    <w:rsid w:val="00DF2057"/>
    <w:rsid w:val="00DF28DE"/>
    <w:rsid w:val="00DF328D"/>
    <w:rsid w:val="00DF652D"/>
    <w:rsid w:val="00E0084B"/>
    <w:rsid w:val="00E06EED"/>
    <w:rsid w:val="00E13B37"/>
    <w:rsid w:val="00E1595E"/>
    <w:rsid w:val="00E15B07"/>
    <w:rsid w:val="00E17F02"/>
    <w:rsid w:val="00E207F2"/>
    <w:rsid w:val="00E20CE4"/>
    <w:rsid w:val="00E237FE"/>
    <w:rsid w:val="00E315BC"/>
    <w:rsid w:val="00E3637F"/>
    <w:rsid w:val="00E3661D"/>
    <w:rsid w:val="00E36BC9"/>
    <w:rsid w:val="00E3780A"/>
    <w:rsid w:val="00E426D5"/>
    <w:rsid w:val="00E4356E"/>
    <w:rsid w:val="00E44E40"/>
    <w:rsid w:val="00E45352"/>
    <w:rsid w:val="00E47DDD"/>
    <w:rsid w:val="00E54533"/>
    <w:rsid w:val="00E6146E"/>
    <w:rsid w:val="00E64C90"/>
    <w:rsid w:val="00E70524"/>
    <w:rsid w:val="00E73096"/>
    <w:rsid w:val="00E827C5"/>
    <w:rsid w:val="00E85F3C"/>
    <w:rsid w:val="00E90426"/>
    <w:rsid w:val="00E9046A"/>
    <w:rsid w:val="00E94013"/>
    <w:rsid w:val="00E95380"/>
    <w:rsid w:val="00E96B8B"/>
    <w:rsid w:val="00EA1061"/>
    <w:rsid w:val="00EA5BD7"/>
    <w:rsid w:val="00EA7E2C"/>
    <w:rsid w:val="00EB1D19"/>
    <w:rsid w:val="00EB3769"/>
    <w:rsid w:val="00EB52AA"/>
    <w:rsid w:val="00EB71A0"/>
    <w:rsid w:val="00EB7FB7"/>
    <w:rsid w:val="00ED1783"/>
    <w:rsid w:val="00ED31CD"/>
    <w:rsid w:val="00ED6673"/>
    <w:rsid w:val="00EE34D5"/>
    <w:rsid w:val="00EE4C99"/>
    <w:rsid w:val="00EF04A5"/>
    <w:rsid w:val="00EF2B32"/>
    <w:rsid w:val="00F06433"/>
    <w:rsid w:val="00F145EF"/>
    <w:rsid w:val="00F1654E"/>
    <w:rsid w:val="00F165B1"/>
    <w:rsid w:val="00F1788D"/>
    <w:rsid w:val="00F20CB6"/>
    <w:rsid w:val="00F21675"/>
    <w:rsid w:val="00F228B2"/>
    <w:rsid w:val="00F22C7D"/>
    <w:rsid w:val="00F26B3D"/>
    <w:rsid w:val="00F33F03"/>
    <w:rsid w:val="00F5073D"/>
    <w:rsid w:val="00F51009"/>
    <w:rsid w:val="00F662D6"/>
    <w:rsid w:val="00F67B80"/>
    <w:rsid w:val="00F84EC7"/>
    <w:rsid w:val="00F8535E"/>
    <w:rsid w:val="00F91F3D"/>
    <w:rsid w:val="00F937FF"/>
    <w:rsid w:val="00F95941"/>
    <w:rsid w:val="00F95AAE"/>
    <w:rsid w:val="00FA27EB"/>
    <w:rsid w:val="00FA608E"/>
    <w:rsid w:val="00FA7A47"/>
    <w:rsid w:val="00FB10A8"/>
    <w:rsid w:val="00FC0943"/>
    <w:rsid w:val="00FC1BAD"/>
    <w:rsid w:val="00FC35F9"/>
    <w:rsid w:val="00FC63D7"/>
    <w:rsid w:val="00FD11CD"/>
    <w:rsid w:val="00FE12E4"/>
    <w:rsid w:val="00FF3BAC"/>
    <w:rsid w:val="00FF4C8E"/>
    <w:rsid w:val="00FF61BB"/>
    <w:rsid w:val="00FF61CC"/>
    <w:rsid w:val="00FF6F12"/>
    <w:rsid w:val="069D6EB8"/>
    <w:rsid w:val="08442114"/>
    <w:rsid w:val="0CF62AE1"/>
    <w:rsid w:val="0FC95281"/>
    <w:rsid w:val="116C2CBB"/>
    <w:rsid w:val="130B15F0"/>
    <w:rsid w:val="13D96AFB"/>
    <w:rsid w:val="1430740E"/>
    <w:rsid w:val="162736A2"/>
    <w:rsid w:val="16BF4A27"/>
    <w:rsid w:val="191D6B20"/>
    <w:rsid w:val="1CDD63DB"/>
    <w:rsid w:val="211A3A64"/>
    <w:rsid w:val="22934682"/>
    <w:rsid w:val="22F30723"/>
    <w:rsid w:val="24462239"/>
    <w:rsid w:val="2CC0185C"/>
    <w:rsid w:val="2EBD3F15"/>
    <w:rsid w:val="2FEB4DD4"/>
    <w:rsid w:val="309C2CBC"/>
    <w:rsid w:val="321D6493"/>
    <w:rsid w:val="33C572ED"/>
    <w:rsid w:val="342B053D"/>
    <w:rsid w:val="34D5653C"/>
    <w:rsid w:val="36960474"/>
    <w:rsid w:val="3763266A"/>
    <w:rsid w:val="37670778"/>
    <w:rsid w:val="396F0290"/>
    <w:rsid w:val="3A50477B"/>
    <w:rsid w:val="3BD90699"/>
    <w:rsid w:val="3E7E6613"/>
    <w:rsid w:val="3E9C6999"/>
    <w:rsid w:val="4062278C"/>
    <w:rsid w:val="41A324DF"/>
    <w:rsid w:val="42E86E1E"/>
    <w:rsid w:val="4AE023F2"/>
    <w:rsid w:val="4DE875EE"/>
    <w:rsid w:val="4FAF1B56"/>
    <w:rsid w:val="546C4D8E"/>
    <w:rsid w:val="54ED2860"/>
    <w:rsid w:val="57163EF1"/>
    <w:rsid w:val="574F4D01"/>
    <w:rsid w:val="582F1267"/>
    <w:rsid w:val="5B116E40"/>
    <w:rsid w:val="5B4D37A3"/>
    <w:rsid w:val="5B7C1B39"/>
    <w:rsid w:val="5BCF2CEF"/>
    <w:rsid w:val="5FB02697"/>
    <w:rsid w:val="613B2140"/>
    <w:rsid w:val="63EC3624"/>
    <w:rsid w:val="660C74BE"/>
    <w:rsid w:val="6A3F0049"/>
    <w:rsid w:val="6CD55569"/>
    <w:rsid w:val="6E235986"/>
    <w:rsid w:val="715C2272"/>
    <w:rsid w:val="7391495F"/>
    <w:rsid w:val="7A2A688A"/>
    <w:rsid w:val="7C980F50"/>
    <w:rsid w:val="7D381E6A"/>
    <w:rsid w:val="7DBB50F0"/>
    <w:rsid w:val="7F8C71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3"/>
    <w:next w:val="1"/>
    <w:link w:val="24"/>
    <w:unhideWhenUsed/>
    <w:qFormat/>
    <w:uiPriority w:val="9"/>
    <w:pPr>
      <w:widowControl/>
      <w:numPr>
        <w:ilvl w:val="0"/>
        <w:numId w:val="1"/>
      </w:numPr>
      <w:spacing w:after="160" w:line="259" w:lineRule="auto"/>
      <w:ind w:firstLine="0" w:firstLineChars="0"/>
      <w:contextualSpacing/>
      <w:jc w:val="left"/>
      <w:outlineLvl w:val="1"/>
    </w:pPr>
    <w:rPr>
      <w:rFonts w:ascii="宋体" w:hAnsi="宋体" w:cstheme="minorBidi"/>
      <w:b/>
      <w:bCs/>
      <w:kern w:val="0"/>
      <w:sz w:val="22"/>
      <w:szCs w:val="2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link w:val="21"/>
    <w:qFormat/>
    <w:uiPriority w:val="34"/>
    <w:pPr>
      <w:ind w:firstLine="420" w:firstLineChars="200"/>
    </w:pPr>
  </w:style>
  <w:style w:type="paragraph" w:styleId="4">
    <w:name w:val="annotation text"/>
    <w:basedOn w:val="1"/>
    <w:link w:val="19"/>
    <w:qFormat/>
    <w:uiPriority w:val="0"/>
    <w:pPr>
      <w:jc w:val="left"/>
    </w:pPr>
  </w:style>
  <w:style w:type="paragraph" w:styleId="5">
    <w:name w:val="Body Text"/>
    <w:basedOn w:val="1"/>
    <w:qFormat/>
    <w:uiPriority w:val="1"/>
    <w:pPr>
      <w:spacing w:before="117"/>
      <w:ind w:left="107"/>
    </w:pPr>
    <w:rPr>
      <w:rFonts w:ascii="仿宋" w:hAnsi="仿宋" w:eastAsia="仿宋"/>
      <w:sz w:val="28"/>
      <w:szCs w:val="28"/>
    </w:rPr>
  </w:style>
  <w:style w:type="paragraph" w:styleId="6">
    <w:name w:val="Plain Text"/>
    <w:basedOn w:val="1"/>
    <w:link w:val="23"/>
    <w:qFormat/>
    <w:uiPriority w:val="0"/>
    <w:rPr>
      <w:rFonts w:ascii="宋体" w:hAnsi="Courier New"/>
    </w:rPr>
  </w:style>
  <w:style w:type="paragraph" w:styleId="7">
    <w:name w:val="Balloon Text"/>
    <w:basedOn w:val="1"/>
    <w:link w:val="25"/>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itle"/>
    <w:basedOn w:val="1"/>
    <w:next w:val="1"/>
    <w:link w:val="22"/>
    <w:qFormat/>
    <w:uiPriority w:val="0"/>
    <w:pPr>
      <w:spacing w:line="360" w:lineRule="auto"/>
      <w:jc w:val="left"/>
      <w:outlineLvl w:val="1"/>
    </w:pPr>
    <w:rPr>
      <w:rFonts w:ascii="Calibri" w:hAnsi="Calibri"/>
      <w:b/>
      <w:bCs/>
      <w:szCs w:val="32"/>
    </w:rPr>
  </w:style>
  <w:style w:type="paragraph" w:styleId="11">
    <w:name w:val="annotation subject"/>
    <w:basedOn w:val="4"/>
    <w:next w:val="4"/>
    <w:link w:val="20"/>
    <w:qFormat/>
    <w:uiPriority w:val="0"/>
    <w:rPr>
      <w:b/>
      <w:bCs/>
    </w:rPr>
  </w:style>
  <w:style w:type="table" w:styleId="13">
    <w:name w:val="Table Grid"/>
    <w:basedOn w:val="12"/>
    <w:qFormat/>
    <w:uiPriority w:val="5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character" w:customStyle="1" w:styleId="18">
    <w:name w:val="页脚 Char"/>
    <w:basedOn w:val="14"/>
    <w:link w:val="8"/>
    <w:qFormat/>
    <w:uiPriority w:val="99"/>
    <w:rPr>
      <w:kern w:val="2"/>
      <w:sz w:val="18"/>
      <w:szCs w:val="18"/>
    </w:rPr>
  </w:style>
  <w:style w:type="character" w:customStyle="1" w:styleId="19">
    <w:name w:val="批注文字 Char"/>
    <w:basedOn w:val="14"/>
    <w:link w:val="4"/>
    <w:qFormat/>
    <w:uiPriority w:val="0"/>
    <w:rPr>
      <w:kern w:val="2"/>
      <w:sz w:val="21"/>
    </w:rPr>
  </w:style>
  <w:style w:type="character" w:customStyle="1" w:styleId="20">
    <w:name w:val="批注主题 Char"/>
    <w:basedOn w:val="19"/>
    <w:link w:val="11"/>
    <w:qFormat/>
    <w:uiPriority w:val="0"/>
    <w:rPr>
      <w:b/>
      <w:bCs/>
      <w:kern w:val="2"/>
      <w:sz w:val="21"/>
    </w:rPr>
  </w:style>
  <w:style w:type="character" w:customStyle="1" w:styleId="21">
    <w:name w:val="列出段落 Char"/>
    <w:basedOn w:val="14"/>
    <w:link w:val="3"/>
    <w:qFormat/>
    <w:uiPriority w:val="34"/>
    <w:rPr>
      <w:kern w:val="2"/>
      <w:sz w:val="21"/>
    </w:rPr>
  </w:style>
  <w:style w:type="character" w:customStyle="1" w:styleId="22">
    <w:name w:val="标题 Char"/>
    <w:basedOn w:val="14"/>
    <w:link w:val="10"/>
    <w:qFormat/>
    <w:uiPriority w:val="0"/>
    <w:rPr>
      <w:rFonts w:ascii="Calibri" w:hAnsi="Calibri"/>
      <w:b/>
      <w:bCs/>
      <w:kern w:val="2"/>
      <w:sz w:val="21"/>
      <w:szCs w:val="32"/>
    </w:rPr>
  </w:style>
  <w:style w:type="character" w:customStyle="1" w:styleId="23">
    <w:name w:val="纯文本 Char"/>
    <w:basedOn w:val="14"/>
    <w:link w:val="6"/>
    <w:qFormat/>
    <w:uiPriority w:val="0"/>
    <w:rPr>
      <w:rFonts w:ascii="宋体" w:hAnsi="Courier New"/>
      <w:kern w:val="2"/>
      <w:sz w:val="21"/>
    </w:rPr>
  </w:style>
  <w:style w:type="character" w:customStyle="1" w:styleId="24">
    <w:name w:val="标题 2 Char"/>
    <w:basedOn w:val="14"/>
    <w:link w:val="2"/>
    <w:qFormat/>
    <w:uiPriority w:val="9"/>
    <w:rPr>
      <w:rFonts w:ascii="宋体" w:hAnsi="宋体" w:cstheme="minorBidi"/>
      <w:b/>
      <w:bCs/>
      <w:sz w:val="22"/>
      <w:szCs w:val="22"/>
    </w:rPr>
  </w:style>
  <w:style w:type="character" w:customStyle="1" w:styleId="25">
    <w:name w:val="批注框文本 Char"/>
    <w:basedOn w:val="14"/>
    <w:link w:val="7"/>
    <w:qFormat/>
    <w:uiPriority w:val="0"/>
    <w:rPr>
      <w:kern w:val="2"/>
      <w:sz w:val="18"/>
      <w:szCs w:val="18"/>
    </w:rPr>
  </w:style>
  <w:style w:type="paragraph" w:customStyle="1" w:styleId="26">
    <w:name w:val="修订1"/>
    <w:hidden/>
    <w:semiHidden/>
    <w:qFormat/>
    <w:uiPriority w:val="99"/>
    <w:rPr>
      <w:rFonts w:ascii="Times New Roman" w:hAnsi="Times New Roman" w:eastAsia="宋体" w:cs="Times New Roman"/>
      <w:kern w:val="2"/>
      <w:sz w:val="21"/>
      <w:lang w:val="en-US" w:eastAsia="zh-CN" w:bidi="ar-SA"/>
    </w:rPr>
  </w:style>
  <w:style w:type="character" w:customStyle="1" w:styleId="27">
    <w:name w:val="font31"/>
    <w:basedOn w:val="14"/>
    <w:qFormat/>
    <w:uiPriority w:val="0"/>
    <w:rPr>
      <w:rFonts w:hint="eastAsia" w:ascii="宋体" w:hAnsi="宋体" w:eastAsia="宋体"/>
      <w:color w:val="000000"/>
      <w:sz w:val="24"/>
      <w:szCs w:val="24"/>
      <w:u w:val="none"/>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1371</Words>
  <Characters>1514</Characters>
  <Lines>47</Lines>
  <Paragraphs>13</Paragraphs>
  <TotalTime>1</TotalTime>
  <ScaleCrop>false</ScaleCrop>
  <LinksUpToDate>false</LinksUpToDate>
  <CharactersWithSpaces>1536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2023-07-08T14:35:00Z</dcterms:created>
  <dc:creator>hyy</dc:creator>
  <cp:lastModifiedBy>a2441</cp:lastModifiedBy>
  <dcterms:modified xsi:type="dcterms:W3CDTF">2025-05-06T08:43:53Z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991B4FECE5D24A21B6A8780A4AD2C667</vt:lpwstr>
  </property>
</Properties>
</file>